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B49E6" w14:textId="77777777" w:rsidR="00A506E5" w:rsidRPr="0029515D" w:rsidRDefault="00A506E5" w:rsidP="00541546">
      <w:pPr>
        <w:spacing w:line="360" w:lineRule="auto"/>
        <w:jc w:val="both"/>
        <w:rPr>
          <w:rFonts w:ascii="Arial" w:hAnsi="Arial" w:cs="Arial"/>
          <w:b/>
          <w:sz w:val="24"/>
          <w:szCs w:val="24"/>
        </w:rPr>
      </w:pPr>
      <w:r w:rsidRPr="0029515D">
        <w:rPr>
          <w:rFonts w:ascii="Arial" w:hAnsi="Arial" w:cs="Arial"/>
          <w:b/>
          <w:sz w:val="24"/>
          <w:szCs w:val="24"/>
        </w:rPr>
        <w:t>RIATT-ESA 2020 STUDIES</w:t>
      </w:r>
    </w:p>
    <w:p w14:paraId="52FF0440" w14:textId="68A44EC2" w:rsidR="00A506E5" w:rsidRPr="0029515D" w:rsidRDefault="00A506E5" w:rsidP="00541546">
      <w:pPr>
        <w:spacing w:before="360" w:after="360" w:line="360" w:lineRule="auto"/>
        <w:jc w:val="both"/>
        <w:rPr>
          <w:rFonts w:ascii="Arial" w:eastAsia="Times New Roman" w:hAnsi="Arial" w:cs="Arial"/>
          <w:b/>
          <w:bCs/>
          <w:sz w:val="24"/>
          <w:szCs w:val="24"/>
        </w:rPr>
      </w:pPr>
      <w:r w:rsidRPr="0029515D">
        <w:rPr>
          <w:rFonts w:ascii="Arial" w:eastAsia="Times New Roman" w:hAnsi="Arial" w:cs="Arial"/>
          <w:b/>
          <w:bCs/>
          <w:sz w:val="24"/>
          <w:szCs w:val="24"/>
        </w:rPr>
        <w:t xml:space="preserve">Terms of Reference for conducting </w:t>
      </w:r>
      <w:r w:rsidR="00E95F08" w:rsidRPr="0029515D">
        <w:rPr>
          <w:rFonts w:ascii="Arial" w:eastAsia="Times New Roman" w:hAnsi="Arial" w:cs="Arial"/>
          <w:b/>
          <w:bCs/>
          <w:sz w:val="24"/>
          <w:szCs w:val="24"/>
        </w:rPr>
        <w:t xml:space="preserve">regional policy reviews </w:t>
      </w:r>
      <w:r w:rsidR="00D438B0" w:rsidRPr="0029515D">
        <w:rPr>
          <w:rFonts w:ascii="Arial" w:eastAsia="Times New Roman" w:hAnsi="Arial" w:cs="Arial"/>
          <w:b/>
          <w:bCs/>
          <w:sz w:val="24"/>
          <w:szCs w:val="24"/>
        </w:rPr>
        <w:t xml:space="preserve">to track progress </w:t>
      </w:r>
      <w:r w:rsidR="00E95F08" w:rsidRPr="0029515D">
        <w:rPr>
          <w:rFonts w:ascii="Arial" w:eastAsia="Times New Roman" w:hAnsi="Arial" w:cs="Arial"/>
          <w:b/>
          <w:bCs/>
          <w:sz w:val="24"/>
          <w:szCs w:val="24"/>
        </w:rPr>
        <w:t xml:space="preserve">on </w:t>
      </w:r>
      <w:r w:rsidR="00D438B0" w:rsidRPr="0029515D">
        <w:rPr>
          <w:rFonts w:ascii="Arial" w:eastAsia="Times New Roman" w:hAnsi="Arial" w:cs="Arial"/>
          <w:b/>
          <w:bCs/>
          <w:sz w:val="24"/>
          <w:szCs w:val="24"/>
        </w:rPr>
        <w:t xml:space="preserve">implementation of </w:t>
      </w:r>
      <w:r w:rsidR="00F3549D" w:rsidRPr="0029515D">
        <w:rPr>
          <w:rFonts w:ascii="Arial" w:eastAsia="Times New Roman" w:hAnsi="Arial" w:cs="Arial"/>
          <w:b/>
          <w:bCs/>
          <w:sz w:val="24"/>
          <w:szCs w:val="24"/>
        </w:rPr>
        <w:t>sexual reproductive health and rights (</w:t>
      </w:r>
      <w:r w:rsidR="00E95F08" w:rsidRPr="0029515D">
        <w:rPr>
          <w:rFonts w:ascii="Arial" w:eastAsia="Times New Roman" w:hAnsi="Arial" w:cs="Arial"/>
          <w:b/>
          <w:bCs/>
          <w:sz w:val="24"/>
          <w:szCs w:val="24"/>
        </w:rPr>
        <w:t>SRHR</w:t>
      </w:r>
      <w:r w:rsidR="00F3549D" w:rsidRPr="0029515D">
        <w:rPr>
          <w:rFonts w:ascii="Arial" w:eastAsia="Times New Roman" w:hAnsi="Arial" w:cs="Arial"/>
          <w:b/>
          <w:bCs/>
          <w:sz w:val="24"/>
          <w:szCs w:val="24"/>
        </w:rPr>
        <w:t>)</w:t>
      </w:r>
      <w:r w:rsidR="00E95F08" w:rsidRPr="0029515D">
        <w:rPr>
          <w:rFonts w:ascii="Arial" w:eastAsia="Times New Roman" w:hAnsi="Arial" w:cs="Arial"/>
          <w:b/>
          <w:bCs/>
          <w:sz w:val="24"/>
          <w:szCs w:val="24"/>
        </w:rPr>
        <w:t xml:space="preserve"> </w:t>
      </w:r>
      <w:r w:rsidR="00D438B0" w:rsidRPr="0029515D">
        <w:rPr>
          <w:rFonts w:ascii="Arial" w:eastAsia="Times New Roman" w:hAnsi="Arial" w:cs="Arial"/>
          <w:b/>
          <w:bCs/>
          <w:sz w:val="24"/>
          <w:szCs w:val="24"/>
        </w:rPr>
        <w:t xml:space="preserve">programmes </w:t>
      </w:r>
      <w:r w:rsidR="00E95F08" w:rsidRPr="0029515D">
        <w:rPr>
          <w:rFonts w:ascii="Arial" w:eastAsia="Times New Roman" w:hAnsi="Arial" w:cs="Arial"/>
          <w:b/>
          <w:bCs/>
          <w:sz w:val="24"/>
          <w:szCs w:val="24"/>
        </w:rPr>
        <w:t xml:space="preserve">and </w:t>
      </w:r>
      <w:r w:rsidR="00F3549D" w:rsidRPr="0029515D">
        <w:rPr>
          <w:rFonts w:ascii="Arial" w:eastAsia="Times New Roman" w:hAnsi="Arial" w:cs="Arial"/>
          <w:b/>
          <w:bCs/>
          <w:sz w:val="24"/>
          <w:szCs w:val="24"/>
        </w:rPr>
        <w:t>reduction in early and unintended pregnancies (</w:t>
      </w:r>
      <w:r w:rsidR="00E95F08" w:rsidRPr="0029515D">
        <w:rPr>
          <w:rFonts w:ascii="Arial" w:eastAsia="Times New Roman" w:hAnsi="Arial" w:cs="Arial"/>
          <w:b/>
          <w:bCs/>
          <w:sz w:val="24"/>
          <w:szCs w:val="24"/>
        </w:rPr>
        <w:t>EUP</w:t>
      </w:r>
      <w:r w:rsidR="00F3549D" w:rsidRPr="0029515D">
        <w:rPr>
          <w:rFonts w:ascii="Arial" w:eastAsia="Times New Roman" w:hAnsi="Arial" w:cs="Arial"/>
          <w:b/>
          <w:bCs/>
          <w:sz w:val="24"/>
          <w:szCs w:val="24"/>
        </w:rPr>
        <w:t>)</w:t>
      </w:r>
      <w:r w:rsidR="00E95F08" w:rsidRPr="0029515D">
        <w:rPr>
          <w:rFonts w:ascii="Arial" w:eastAsia="Times New Roman" w:hAnsi="Arial" w:cs="Arial"/>
          <w:b/>
          <w:bCs/>
          <w:sz w:val="24"/>
          <w:szCs w:val="24"/>
        </w:rPr>
        <w:t xml:space="preserve"> in the EAC </w:t>
      </w:r>
      <w:r w:rsidRPr="0029515D">
        <w:rPr>
          <w:rFonts w:ascii="Arial" w:eastAsia="Times New Roman" w:hAnsi="Arial" w:cs="Arial"/>
          <w:b/>
          <w:bCs/>
          <w:sz w:val="24"/>
          <w:szCs w:val="24"/>
        </w:rPr>
        <w:t xml:space="preserve">and SADC. </w:t>
      </w:r>
    </w:p>
    <w:p w14:paraId="1C52E34B" w14:textId="77777777" w:rsidR="0095213A" w:rsidRPr="0029515D" w:rsidRDefault="0095213A" w:rsidP="00541546">
      <w:pPr>
        <w:spacing w:before="360" w:after="360" w:line="360" w:lineRule="auto"/>
        <w:jc w:val="both"/>
        <w:rPr>
          <w:rFonts w:ascii="Arial" w:eastAsia="Times New Roman" w:hAnsi="Arial" w:cs="Arial"/>
          <w:b/>
          <w:bCs/>
          <w:sz w:val="24"/>
          <w:szCs w:val="24"/>
        </w:rPr>
      </w:pPr>
      <w:r w:rsidRPr="0029515D">
        <w:rPr>
          <w:rFonts w:ascii="Arial" w:eastAsia="Times New Roman" w:hAnsi="Arial" w:cs="Arial"/>
          <w:b/>
          <w:bCs/>
          <w:sz w:val="24"/>
          <w:szCs w:val="24"/>
        </w:rPr>
        <w:t>Background</w:t>
      </w:r>
    </w:p>
    <w:p w14:paraId="32E67822" w14:textId="79B3A3E4" w:rsidR="005E28AB" w:rsidRPr="0029515D" w:rsidRDefault="00B17BB7" w:rsidP="005E28AB">
      <w:pPr>
        <w:pStyle w:val="p"/>
        <w:shd w:val="clear" w:color="auto" w:fill="FFFFFF"/>
        <w:spacing w:before="166" w:beforeAutospacing="0" w:after="166" w:afterAutospacing="0" w:line="360" w:lineRule="auto"/>
        <w:jc w:val="both"/>
        <w:rPr>
          <w:rFonts w:ascii="Arial" w:hAnsi="Arial" w:cs="Arial"/>
        </w:rPr>
      </w:pPr>
      <w:r w:rsidRPr="0029515D">
        <w:rPr>
          <w:rFonts w:ascii="Arial" w:hAnsi="Arial" w:cs="Arial"/>
        </w:rPr>
        <w:t>There are a number of complex problems that are a barrier to delivering universal access to sexual and reproductive health and rights by 2030, as laid out in the Sustainable Development Goal 5: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7BA368EC" w14:textId="3200FDC2" w:rsidR="00134CCE" w:rsidRPr="0029515D" w:rsidRDefault="00134CCE" w:rsidP="005E28AB">
      <w:pPr>
        <w:pStyle w:val="p"/>
        <w:shd w:val="clear" w:color="auto" w:fill="FFFFFF"/>
        <w:spacing w:before="166" w:beforeAutospacing="0" w:after="166" w:afterAutospacing="0" w:line="360" w:lineRule="auto"/>
        <w:jc w:val="both"/>
        <w:rPr>
          <w:rFonts w:ascii="Arial" w:hAnsi="Arial" w:cs="Arial"/>
        </w:rPr>
      </w:pPr>
      <w:r w:rsidRPr="0029515D">
        <w:rPr>
          <w:rFonts w:ascii="Arial" w:hAnsi="Arial" w:cs="Arial"/>
        </w:rPr>
        <w:t>Two targets of the globally adopted 2030 Agenda for Sustainable Development</w:t>
      </w:r>
      <w:r w:rsidR="00D438B0" w:rsidRPr="0029515D">
        <w:rPr>
          <w:rFonts w:ascii="Arial" w:hAnsi="Arial" w:cs="Arial"/>
        </w:rPr>
        <w:t xml:space="preserve"> </w:t>
      </w:r>
      <w:r w:rsidRPr="0029515D">
        <w:rPr>
          <w:rFonts w:ascii="Arial" w:hAnsi="Arial" w:cs="Arial"/>
        </w:rPr>
        <w:t>explicitly mention sexual and reproductive health. Target 3.7—under the health goal— states, “By 2030, ensure universal access to sexual and reproductive health-care services, including for family planning, information and education, and the integration of reproductive health into national strategies and programmes”. Target 5.6—under the gender equality goal—aims to, “Ensure universal access to sexual and reproductive health and reproductive rights”, in accordance with previously negotiated UN agreements. Although these targets offer a solid basis for moving forward, they do not offer a comprehensive agenda for SRHR</w:t>
      </w:r>
      <w:r w:rsidR="00E8551F">
        <w:rPr>
          <w:rFonts w:ascii="Arial" w:hAnsi="Arial" w:cs="Arial"/>
        </w:rPr>
        <w:t xml:space="preserve"> </w:t>
      </w:r>
      <w:r w:rsidR="00E8551F" w:rsidRPr="00E8551F">
        <w:rPr>
          <w:rFonts w:ascii="Arial" w:hAnsi="Arial" w:cs="Arial"/>
        </w:rPr>
        <w:t>(UNESCO, 2018)</w:t>
      </w:r>
      <w:r w:rsidRPr="0029515D">
        <w:rPr>
          <w:rFonts w:ascii="Arial" w:hAnsi="Arial" w:cs="Arial"/>
        </w:rPr>
        <w:t>.</w:t>
      </w:r>
    </w:p>
    <w:p w14:paraId="7A2E4892" w14:textId="1E291CF0" w:rsidR="002E03C7" w:rsidRPr="0029515D" w:rsidRDefault="002E03C7" w:rsidP="002E03C7">
      <w:pPr>
        <w:pStyle w:val="p"/>
        <w:shd w:val="clear" w:color="auto" w:fill="FFFFFF"/>
        <w:spacing w:before="166" w:after="166" w:line="360" w:lineRule="auto"/>
        <w:jc w:val="both"/>
        <w:rPr>
          <w:rFonts w:ascii="Arial" w:hAnsi="Arial" w:cs="Arial"/>
        </w:rPr>
      </w:pPr>
      <w:r w:rsidRPr="0029515D">
        <w:rPr>
          <w:rFonts w:ascii="Arial" w:hAnsi="Arial" w:cs="Arial"/>
        </w:rPr>
        <w:t xml:space="preserve">Sexual and reproductive health and rights (SRHR) are fundamental to people’s health and survival, to economic development, and to the wellbeing of humanity. Several decades of research have shown—and continue to show—the profound and measurable benefits of investment in sexual and reproductive health. Through international agreements, governments have committed to such investment. Yet progress has been </w:t>
      </w:r>
      <w:r w:rsidR="00B117CB" w:rsidRPr="0029515D">
        <w:rPr>
          <w:rFonts w:ascii="Arial" w:hAnsi="Arial" w:cs="Arial"/>
        </w:rPr>
        <w:t>hindered</w:t>
      </w:r>
      <w:r w:rsidRPr="0029515D">
        <w:rPr>
          <w:rFonts w:ascii="Arial" w:hAnsi="Arial" w:cs="Arial"/>
        </w:rPr>
        <w:t xml:space="preserve"> b</w:t>
      </w:r>
      <w:r w:rsidR="00B117CB">
        <w:rPr>
          <w:rFonts w:ascii="Arial" w:hAnsi="Arial" w:cs="Arial"/>
        </w:rPr>
        <w:t xml:space="preserve">y </w:t>
      </w:r>
      <w:r w:rsidRPr="0029515D">
        <w:rPr>
          <w:rFonts w:ascii="Arial" w:hAnsi="Arial" w:cs="Arial"/>
        </w:rPr>
        <w:t xml:space="preserve">weak political commitment, inadequate resources, persistent discrimination against women and girls, and an unwillingness to address issues related to sexuality </w:t>
      </w:r>
      <w:r w:rsidRPr="0029515D">
        <w:rPr>
          <w:rFonts w:ascii="Arial" w:hAnsi="Arial" w:cs="Arial"/>
        </w:rPr>
        <w:lastRenderedPageBreak/>
        <w:t>openly and comprehensively. Health and development initiatives, including the 2030 Agenda for Sustainable Development and the movement toward universal health coverage, typically focus on particular components of SRHR: contraception, maternal and newborn health, and HIV/AIDS. Countries around the world have made remarkable gains in these areas over the past few decades, but the gains have been inequitable among and within countries, and services have often fallen short in coverage and quality. Moreover, in much of the world, people have insufficient access to a full set of sexual and reproductive health services, and their sexual and reproductive rights are not respected or protected. Acceleration of progress therefore requires adoption of a more holistic view of SRHR and tackling of neglected issues, such as adolescent sexuality, gender</w:t>
      </w:r>
      <w:r w:rsidR="00CC226F" w:rsidRPr="0029515D">
        <w:rPr>
          <w:rFonts w:ascii="Arial" w:hAnsi="Arial" w:cs="Arial"/>
        </w:rPr>
        <w:t>-</w:t>
      </w:r>
      <w:r w:rsidRPr="0029515D">
        <w:rPr>
          <w:rFonts w:ascii="Arial" w:hAnsi="Arial" w:cs="Arial"/>
        </w:rPr>
        <w:t xml:space="preserve">based violence, abortion, and diversity in sexual orientations and gender identities. Progress in SRHR requires confrontation of the barriers embedded in laws, policies, the economy, and in social norms and values—especially gender inequality— that prevent people from achieving sexual and reproductive health. Improvement of people’s wellbeing depends on individuals’ being able to make decisions about their own sexual and reproductive lives and respecting the decisions of others. In other words, achieving sexual and reproductive health rests on </w:t>
      </w:r>
      <w:r w:rsidR="004F7DCC" w:rsidRPr="0029515D">
        <w:rPr>
          <w:rFonts w:ascii="Arial" w:hAnsi="Arial" w:cs="Arial"/>
        </w:rPr>
        <w:t>realizing</w:t>
      </w:r>
      <w:r w:rsidRPr="0029515D">
        <w:rPr>
          <w:rFonts w:ascii="Arial" w:hAnsi="Arial" w:cs="Arial"/>
        </w:rPr>
        <w:t xml:space="preserve"> sexual and reproductive rights, many of which are often overlooked—</w:t>
      </w:r>
      <w:proofErr w:type="spellStart"/>
      <w:r w:rsidRPr="0029515D">
        <w:rPr>
          <w:rFonts w:ascii="Arial" w:hAnsi="Arial" w:cs="Arial"/>
        </w:rPr>
        <w:t>eg</w:t>
      </w:r>
      <w:proofErr w:type="spellEnd"/>
      <w:r w:rsidRPr="0029515D">
        <w:rPr>
          <w:rFonts w:ascii="Arial" w:hAnsi="Arial" w:cs="Arial"/>
        </w:rPr>
        <w:t>, the right to control one’s own body, define one’s sexuality, choose one’s partner, and receive confidential, respectful, and high-quality services. Each year in developing regions, more than 30 million women do not give birth in a health facility, more than 45 million have inadequate or no antenatal care, and more than 200 million women want to avoid pregnancy but are not using modern contraception</w:t>
      </w:r>
      <w:r w:rsidR="00B60B64">
        <w:rPr>
          <w:rFonts w:ascii="Arial" w:hAnsi="Arial" w:cs="Arial"/>
        </w:rPr>
        <w:t xml:space="preserve"> (</w:t>
      </w:r>
      <w:r w:rsidRPr="0029515D">
        <w:rPr>
          <w:rFonts w:ascii="Arial" w:hAnsi="Arial" w:cs="Arial"/>
        </w:rPr>
        <w:t>Guttmacher- Lancet Report 2018)</w:t>
      </w:r>
      <w:r w:rsidR="004F7DCC">
        <w:rPr>
          <w:rFonts w:ascii="Arial" w:hAnsi="Arial" w:cs="Arial"/>
        </w:rPr>
        <w:t>.</w:t>
      </w:r>
    </w:p>
    <w:p w14:paraId="5CA2FBD4" w14:textId="4F2F333E" w:rsidR="002E03C7" w:rsidRPr="0029515D" w:rsidRDefault="002E03C7" w:rsidP="002E03C7">
      <w:pPr>
        <w:pStyle w:val="p"/>
        <w:shd w:val="clear" w:color="auto" w:fill="FFFFFF"/>
        <w:spacing w:before="166" w:beforeAutospacing="0" w:after="166" w:afterAutospacing="0" w:line="360" w:lineRule="auto"/>
        <w:jc w:val="both"/>
        <w:rPr>
          <w:rFonts w:ascii="Arial" w:hAnsi="Arial" w:cs="Arial"/>
        </w:rPr>
      </w:pPr>
      <w:r w:rsidRPr="0029515D">
        <w:rPr>
          <w:rFonts w:ascii="Arial" w:hAnsi="Arial" w:cs="Arial"/>
        </w:rPr>
        <w:t xml:space="preserve">Adolescents need different health, education and social services. Further, the right of adolescents below the age of 18 years to these services is enshrined in the Convention on the Rights of the Child. The reality is that in many places, neither the providers of these services nor the systems in which they operate are geared towards meeting the needs and fulfilling the rights of adolescents. To address this widely </w:t>
      </w:r>
      <w:r w:rsidR="003150B2" w:rsidRPr="0029515D">
        <w:rPr>
          <w:rFonts w:ascii="Arial" w:hAnsi="Arial" w:cs="Arial"/>
        </w:rPr>
        <w:t>recognized</w:t>
      </w:r>
      <w:r w:rsidRPr="0029515D">
        <w:rPr>
          <w:rFonts w:ascii="Arial" w:hAnsi="Arial" w:cs="Arial"/>
        </w:rPr>
        <w:t xml:space="preserve"> gap, efforts are increasingly under way to build competence and empathy in teachers, health-care workers, social workers and others. However, these efforts need to be stepped up. </w:t>
      </w:r>
      <w:r w:rsidRPr="0029515D">
        <w:rPr>
          <w:rFonts w:ascii="Arial" w:hAnsi="Arial" w:cs="Arial"/>
        </w:rPr>
        <w:lastRenderedPageBreak/>
        <w:t>Training and supporting service providers and reorienting the systems they are part of are crucial to delivering the many effective promotive, preventive and curative interventions available. Such efforts must go beyond perfunctory, top-down approaches to involving adolescents, community members, service providers and managers to identify the factors contributing to the poor quality and reach of these services and to define and implement evidence-based approaches that are tailored to the local context. It is just as important to build in assessment and accountability systems, with the meaningful involvement of adolescents</w:t>
      </w:r>
      <w:r w:rsidR="004F7DCC">
        <w:rPr>
          <w:rFonts w:ascii="Arial" w:hAnsi="Arial" w:cs="Arial"/>
        </w:rPr>
        <w:t xml:space="preserve"> </w:t>
      </w:r>
      <w:r w:rsidR="004F7DCC" w:rsidRPr="0029515D">
        <w:rPr>
          <w:rFonts w:ascii="Arial" w:hAnsi="Arial" w:cs="Arial"/>
        </w:rPr>
        <w:t>(Guttmacher- Lancet Report 2018)</w:t>
      </w:r>
      <w:r w:rsidRPr="0029515D">
        <w:rPr>
          <w:rFonts w:ascii="Arial" w:hAnsi="Arial" w:cs="Arial"/>
        </w:rPr>
        <w:t>.</w:t>
      </w:r>
    </w:p>
    <w:p w14:paraId="190F13CA" w14:textId="77777777" w:rsidR="003F4174" w:rsidRPr="0029515D" w:rsidRDefault="00710C9C" w:rsidP="00541546">
      <w:pPr>
        <w:shd w:val="clear" w:color="auto" w:fill="FFFFFF"/>
        <w:spacing w:after="166" w:line="360" w:lineRule="auto"/>
        <w:jc w:val="both"/>
        <w:rPr>
          <w:rFonts w:ascii="Arial" w:eastAsia="Times New Roman" w:hAnsi="Arial" w:cs="Arial"/>
          <w:b/>
          <w:sz w:val="24"/>
          <w:szCs w:val="24"/>
        </w:rPr>
      </w:pPr>
      <w:r w:rsidRPr="0029515D">
        <w:rPr>
          <w:rFonts w:ascii="Arial" w:eastAsia="Times New Roman" w:hAnsi="Arial" w:cs="Arial"/>
          <w:b/>
          <w:sz w:val="24"/>
          <w:szCs w:val="24"/>
        </w:rPr>
        <w:t>Study Purpose</w:t>
      </w:r>
    </w:p>
    <w:p w14:paraId="7276DB23" w14:textId="24F89C5A" w:rsidR="003F4174" w:rsidRPr="0029515D" w:rsidRDefault="00A506E5" w:rsidP="00541546">
      <w:pPr>
        <w:shd w:val="clear" w:color="auto" w:fill="FFFFFF"/>
        <w:spacing w:after="166" w:line="360" w:lineRule="auto"/>
        <w:jc w:val="both"/>
        <w:rPr>
          <w:rFonts w:ascii="Arial" w:eastAsia="Times New Roman" w:hAnsi="Arial" w:cs="Arial"/>
          <w:sz w:val="24"/>
          <w:szCs w:val="24"/>
        </w:rPr>
      </w:pPr>
      <w:r w:rsidRPr="0029515D">
        <w:rPr>
          <w:rFonts w:ascii="Arial" w:eastAsia="Times New Roman" w:hAnsi="Arial" w:cs="Arial"/>
          <w:sz w:val="24"/>
          <w:szCs w:val="24"/>
        </w:rPr>
        <w:t xml:space="preserve">This </w:t>
      </w:r>
      <w:r w:rsidR="003F4174" w:rsidRPr="0029515D">
        <w:rPr>
          <w:rFonts w:ascii="Arial" w:eastAsia="Times New Roman" w:hAnsi="Arial" w:cs="Arial"/>
          <w:sz w:val="24"/>
          <w:szCs w:val="24"/>
        </w:rPr>
        <w:t xml:space="preserve">study </w:t>
      </w:r>
      <w:r w:rsidR="000F0F70" w:rsidRPr="0029515D">
        <w:rPr>
          <w:rFonts w:ascii="Arial" w:eastAsia="Times New Roman" w:hAnsi="Arial" w:cs="Arial"/>
          <w:sz w:val="24"/>
          <w:szCs w:val="24"/>
        </w:rPr>
        <w:t>seeks to</w:t>
      </w:r>
      <w:r w:rsidR="003F4174" w:rsidRPr="0029515D">
        <w:rPr>
          <w:rFonts w:ascii="Arial" w:eastAsia="Times New Roman" w:hAnsi="Arial" w:cs="Arial"/>
          <w:sz w:val="24"/>
          <w:szCs w:val="24"/>
        </w:rPr>
        <w:t xml:space="preserve"> </w:t>
      </w:r>
      <w:r w:rsidR="00C66C65" w:rsidRPr="0029515D">
        <w:rPr>
          <w:rFonts w:ascii="Arial" w:eastAsia="Times New Roman" w:hAnsi="Arial" w:cs="Arial"/>
          <w:sz w:val="24"/>
          <w:szCs w:val="24"/>
        </w:rPr>
        <w:t>track progress ahead of the</w:t>
      </w:r>
      <w:r w:rsidR="00C66C65" w:rsidRPr="0029515D">
        <w:rPr>
          <w:rFonts w:ascii="Arial" w:hAnsi="Arial" w:cs="Arial"/>
        </w:rPr>
        <w:t xml:space="preserve"> </w:t>
      </w:r>
      <w:r w:rsidR="00C66C65" w:rsidRPr="0029515D">
        <w:rPr>
          <w:rFonts w:ascii="Arial" w:hAnsi="Arial" w:cs="Arial"/>
          <w:sz w:val="24"/>
          <w:szCs w:val="24"/>
        </w:rPr>
        <w:t xml:space="preserve">25th Anniversary of the Beijing Declaration 1995 and </w:t>
      </w:r>
      <w:r w:rsidR="00987B42" w:rsidRPr="0029515D">
        <w:rPr>
          <w:rFonts w:ascii="Arial" w:hAnsi="Arial" w:cs="Arial"/>
          <w:sz w:val="24"/>
          <w:szCs w:val="24"/>
        </w:rPr>
        <w:t>10-year</w:t>
      </w:r>
      <w:r w:rsidR="00C66C65" w:rsidRPr="0029515D">
        <w:rPr>
          <w:rFonts w:ascii="Arial" w:hAnsi="Arial" w:cs="Arial"/>
          <w:sz w:val="24"/>
          <w:szCs w:val="24"/>
        </w:rPr>
        <w:t xml:space="preserve"> countdown to the SDGs by 2030</w:t>
      </w:r>
      <w:r w:rsidR="00C66C65" w:rsidRPr="0029515D">
        <w:t xml:space="preserve"> </w:t>
      </w:r>
      <w:r w:rsidR="003F4174" w:rsidRPr="0029515D">
        <w:rPr>
          <w:rFonts w:ascii="Arial" w:eastAsia="Times New Roman" w:hAnsi="Arial" w:cs="Arial"/>
          <w:sz w:val="24"/>
          <w:szCs w:val="24"/>
        </w:rPr>
        <w:t xml:space="preserve">in relation to </w:t>
      </w:r>
      <w:r w:rsidR="002C2882" w:rsidRPr="0029515D">
        <w:rPr>
          <w:rFonts w:ascii="Arial" w:eastAsia="Times New Roman" w:hAnsi="Arial" w:cs="Arial"/>
          <w:bCs/>
          <w:sz w:val="24"/>
          <w:szCs w:val="24"/>
        </w:rPr>
        <w:t>sexual reproductive health and rights</w:t>
      </w:r>
      <w:r w:rsidR="002C2882" w:rsidRPr="0029515D">
        <w:rPr>
          <w:rFonts w:ascii="Arial" w:eastAsia="Times New Roman" w:hAnsi="Arial" w:cs="Arial"/>
          <w:sz w:val="24"/>
          <w:szCs w:val="24"/>
        </w:rPr>
        <w:t xml:space="preserve"> </w:t>
      </w:r>
      <w:r w:rsidR="00001415" w:rsidRPr="0029515D">
        <w:rPr>
          <w:rFonts w:ascii="Arial" w:eastAsia="Times New Roman" w:hAnsi="Arial" w:cs="Arial"/>
          <w:sz w:val="24"/>
          <w:szCs w:val="24"/>
        </w:rPr>
        <w:t>(</w:t>
      </w:r>
      <w:r w:rsidRPr="0029515D">
        <w:rPr>
          <w:rFonts w:ascii="Arial" w:eastAsia="Times New Roman" w:hAnsi="Arial" w:cs="Arial"/>
          <w:sz w:val="24"/>
          <w:szCs w:val="24"/>
        </w:rPr>
        <w:t>SRHR</w:t>
      </w:r>
      <w:r w:rsidR="00001415" w:rsidRPr="0029515D">
        <w:rPr>
          <w:rFonts w:ascii="Arial" w:eastAsia="Times New Roman" w:hAnsi="Arial" w:cs="Arial"/>
          <w:sz w:val="24"/>
          <w:szCs w:val="24"/>
        </w:rPr>
        <w:t>)</w:t>
      </w:r>
      <w:r w:rsidRPr="0029515D">
        <w:rPr>
          <w:rFonts w:ascii="Arial" w:eastAsia="Times New Roman" w:hAnsi="Arial" w:cs="Arial"/>
          <w:sz w:val="24"/>
          <w:szCs w:val="24"/>
        </w:rPr>
        <w:t xml:space="preserve"> </w:t>
      </w:r>
      <w:r w:rsidR="003F4174" w:rsidRPr="0029515D">
        <w:rPr>
          <w:rFonts w:ascii="Arial" w:eastAsia="Times New Roman" w:hAnsi="Arial" w:cs="Arial"/>
          <w:sz w:val="24"/>
          <w:szCs w:val="24"/>
        </w:rPr>
        <w:t>and reduction in early and unintended pregnancies (EUP) as they affect a</w:t>
      </w:r>
      <w:r w:rsidRPr="0029515D">
        <w:rPr>
          <w:rFonts w:ascii="Arial" w:eastAsia="Times New Roman" w:hAnsi="Arial" w:cs="Arial"/>
          <w:sz w:val="24"/>
          <w:szCs w:val="24"/>
        </w:rPr>
        <w:t>dolescent girls (aged 10–19</w:t>
      </w:r>
      <w:r w:rsidR="00316797" w:rsidRPr="0029515D">
        <w:rPr>
          <w:rFonts w:ascii="Arial" w:eastAsia="Times New Roman" w:hAnsi="Arial" w:cs="Arial"/>
          <w:sz w:val="24"/>
          <w:szCs w:val="24"/>
        </w:rPr>
        <w:t xml:space="preserve"> years</w:t>
      </w:r>
      <w:r w:rsidRPr="0029515D">
        <w:rPr>
          <w:rFonts w:ascii="Arial" w:eastAsia="Times New Roman" w:hAnsi="Arial" w:cs="Arial"/>
          <w:sz w:val="24"/>
          <w:szCs w:val="24"/>
        </w:rPr>
        <w:t xml:space="preserve">) in </w:t>
      </w:r>
      <w:r w:rsidR="003F4174" w:rsidRPr="0029515D">
        <w:rPr>
          <w:rFonts w:ascii="Arial" w:eastAsia="Times New Roman" w:hAnsi="Arial" w:cs="Arial"/>
          <w:sz w:val="24"/>
          <w:szCs w:val="24"/>
        </w:rPr>
        <w:t xml:space="preserve">the EAC and SADC </w:t>
      </w:r>
      <w:r w:rsidR="00977F72">
        <w:rPr>
          <w:rFonts w:ascii="Arial" w:eastAsia="Times New Roman" w:hAnsi="Arial" w:cs="Arial"/>
          <w:sz w:val="24"/>
          <w:szCs w:val="24"/>
        </w:rPr>
        <w:t>M</w:t>
      </w:r>
      <w:r w:rsidR="003F4174" w:rsidRPr="0029515D">
        <w:rPr>
          <w:rFonts w:ascii="Arial" w:eastAsia="Times New Roman" w:hAnsi="Arial" w:cs="Arial"/>
          <w:sz w:val="24"/>
          <w:szCs w:val="24"/>
        </w:rPr>
        <w:t xml:space="preserve">ember </w:t>
      </w:r>
      <w:r w:rsidR="00977F72">
        <w:rPr>
          <w:rFonts w:ascii="Arial" w:eastAsia="Times New Roman" w:hAnsi="Arial" w:cs="Arial"/>
          <w:sz w:val="24"/>
          <w:szCs w:val="24"/>
        </w:rPr>
        <w:t>S</w:t>
      </w:r>
      <w:r w:rsidR="003F4174" w:rsidRPr="0029515D">
        <w:rPr>
          <w:rFonts w:ascii="Arial" w:eastAsia="Times New Roman" w:hAnsi="Arial" w:cs="Arial"/>
          <w:sz w:val="24"/>
          <w:szCs w:val="24"/>
        </w:rPr>
        <w:t xml:space="preserve">tates and recommend </w:t>
      </w:r>
      <w:r w:rsidRPr="0029515D">
        <w:rPr>
          <w:rFonts w:ascii="Arial" w:eastAsia="Times New Roman" w:hAnsi="Arial" w:cs="Arial"/>
          <w:sz w:val="24"/>
          <w:szCs w:val="24"/>
        </w:rPr>
        <w:t>additional actions that need to be taken to enable all girls to make a safe and healthy passage to adulthood</w:t>
      </w:r>
      <w:r w:rsidR="00195108" w:rsidRPr="0029515D">
        <w:rPr>
          <w:rFonts w:ascii="Arial" w:eastAsia="Times New Roman" w:hAnsi="Arial" w:cs="Arial"/>
          <w:sz w:val="24"/>
          <w:szCs w:val="24"/>
        </w:rPr>
        <w:t xml:space="preserve"> and delay childbearing</w:t>
      </w:r>
      <w:r w:rsidRPr="0029515D">
        <w:rPr>
          <w:rFonts w:ascii="Arial" w:eastAsia="Times New Roman" w:hAnsi="Arial" w:cs="Arial"/>
          <w:sz w:val="24"/>
          <w:szCs w:val="24"/>
        </w:rPr>
        <w:t xml:space="preserve">. </w:t>
      </w:r>
    </w:p>
    <w:p w14:paraId="263FAD93" w14:textId="23A52583" w:rsidR="00653C45" w:rsidRPr="0029515D" w:rsidRDefault="00653C45" w:rsidP="00541546">
      <w:pPr>
        <w:shd w:val="clear" w:color="auto" w:fill="FFFFFF"/>
        <w:spacing w:before="166" w:line="360" w:lineRule="auto"/>
        <w:jc w:val="both"/>
        <w:rPr>
          <w:rFonts w:ascii="Arial" w:eastAsia="Times New Roman" w:hAnsi="Arial" w:cs="Arial"/>
          <w:b/>
          <w:sz w:val="24"/>
          <w:szCs w:val="24"/>
        </w:rPr>
      </w:pPr>
      <w:r w:rsidRPr="0029515D">
        <w:rPr>
          <w:rFonts w:ascii="Arial" w:eastAsia="Times New Roman" w:hAnsi="Arial" w:cs="Arial"/>
          <w:b/>
          <w:sz w:val="24"/>
          <w:szCs w:val="24"/>
        </w:rPr>
        <w:t>Study Objectives</w:t>
      </w:r>
    </w:p>
    <w:p w14:paraId="556FDDF5" w14:textId="6B7DB28A" w:rsidR="00542422" w:rsidRPr="0029515D" w:rsidRDefault="00542422" w:rsidP="00D36FBE">
      <w:pPr>
        <w:pStyle w:val="ListParagraph"/>
        <w:numPr>
          <w:ilvl w:val="0"/>
          <w:numId w:val="7"/>
        </w:numPr>
        <w:shd w:val="clear" w:color="auto" w:fill="FFFFFF"/>
        <w:spacing w:before="166" w:line="360" w:lineRule="auto"/>
        <w:jc w:val="both"/>
        <w:rPr>
          <w:rFonts w:ascii="Arial" w:eastAsia="Times New Roman" w:hAnsi="Arial" w:cs="Arial"/>
          <w:sz w:val="24"/>
          <w:szCs w:val="24"/>
        </w:rPr>
      </w:pPr>
      <w:r w:rsidRPr="0029515D">
        <w:rPr>
          <w:rFonts w:ascii="Arial" w:hAnsi="Arial" w:cs="Arial"/>
          <w:sz w:val="24"/>
          <w:szCs w:val="24"/>
        </w:rPr>
        <w:t>Review and analyze latest data or research on the magnitude of Early and Unintended Pregnancies (EUP) and also track progress of the recommendations from the UNESCO 2018 study, to ascertain progress made on improving indicators on girls</w:t>
      </w:r>
      <w:r w:rsidR="006722C4" w:rsidRPr="0029515D">
        <w:rPr>
          <w:rFonts w:ascii="Arial" w:hAnsi="Arial" w:cs="Arial"/>
          <w:sz w:val="24"/>
          <w:szCs w:val="24"/>
        </w:rPr>
        <w:t xml:space="preserve">’ </w:t>
      </w:r>
      <w:r w:rsidRPr="0029515D">
        <w:rPr>
          <w:rFonts w:ascii="Arial" w:hAnsi="Arial" w:cs="Arial"/>
          <w:sz w:val="24"/>
          <w:szCs w:val="24"/>
        </w:rPr>
        <w:t>education in the EAC and SADC Member States;</w:t>
      </w:r>
    </w:p>
    <w:p w14:paraId="57789CD9" w14:textId="3EF0ED87" w:rsidR="00EA447B" w:rsidRPr="0029515D" w:rsidRDefault="00653C45" w:rsidP="00062376">
      <w:pPr>
        <w:pStyle w:val="ListParagraph"/>
        <w:numPr>
          <w:ilvl w:val="0"/>
          <w:numId w:val="7"/>
        </w:numPr>
        <w:shd w:val="clear" w:color="auto" w:fill="FFFFFF"/>
        <w:spacing w:before="166" w:line="360" w:lineRule="auto"/>
        <w:jc w:val="both"/>
        <w:rPr>
          <w:rFonts w:ascii="Arial" w:eastAsia="Times New Roman" w:hAnsi="Arial" w:cs="Arial"/>
          <w:sz w:val="24"/>
          <w:szCs w:val="24"/>
        </w:rPr>
      </w:pPr>
      <w:r w:rsidRPr="0029515D">
        <w:rPr>
          <w:rFonts w:ascii="Arial" w:eastAsia="Times New Roman" w:hAnsi="Arial" w:cs="Arial"/>
          <w:sz w:val="24"/>
          <w:szCs w:val="24"/>
        </w:rPr>
        <w:t>M</w:t>
      </w:r>
      <w:r w:rsidR="00A506E5" w:rsidRPr="0029515D">
        <w:rPr>
          <w:rFonts w:ascii="Arial" w:eastAsia="Times New Roman" w:hAnsi="Arial" w:cs="Arial"/>
          <w:sz w:val="24"/>
          <w:szCs w:val="24"/>
        </w:rPr>
        <w:t>ap the opportunities for meeting the health needs and protecting the human rights of adolescent girls, looking forward to continuing ICPD implementation, and to inclusion of actions for adolescents’ SRHR, particularly of girls, in th</w:t>
      </w:r>
      <w:r w:rsidR="00EA447B" w:rsidRPr="0029515D">
        <w:rPr>
          <w:rFonts w:ascii="Arial" w:eastAsia="Times New Roman" w:hAnsi="Arial" w:cs="Arial"/>
          <w:sz w:val="24"/>
          <w:szCs w:val="24"/>
        </w:rPr>
        <w:t xml:space="preserve">e post-2015 development agenda; </w:t>
      </w:r>
    </w:p>
    <w:p w14:paraId="4C0E25F2" w14:textId="1002C464" w:rsidR="0046403F" w:rsidRPr="0029515D" w:rsidRDefault="0046403F" w:rsidP="00D36FBE">
      <w:pPr>
        <w:pStyle w:val="ListParagraph"/>
        <w:numPr>
          <w:ilvl w:val="0"/>
          <w:numId w:val="7"/>
        </w:numPr>
        <w:shd w:val="clear" w:color="auto" w:fill="FFFFFF"/>
        <w:spacing w:before="166" w:line="360" w:lineRule="auto"/>
        <w:jc w:val="both"/>
        <w:rPr>
          <w:rFonts w:ascii="Arial" w:eastAsia="Times New Roman" w:hAnsi="Arial" w:cs="Arial"/>
          <w:sz w:val="24"/>
          <w:szCs w:val="24"/>
        </w:rPr>
      </w:pPr>
      <w:r w:rsidRPr="0029515D">
        <w:rPr>
          <w:rFonts w:ascii="Arial" w:hAnsi="Arial" w:cs="Arial"/>
          <w:sz w:val="24"/>
          <w:szCs w:val="24"/>
        </w:rPr>
        <w:t>Review progress made on SRHR after Beijing commitments and towards achievement of SDG targets after 10years;</w:t>
      </w:r>
    </w:p>
    <w:p w14:paraId="54968D18" w14:textId="77777777" w:rsidR="00EA447B" w:rsidRPr="0029515D" w:rsidRDefault="00EA447B" w:rsidP="00043F77">
      <w:pPr>
        <w:pStyle w:val="ListParagraph"/>
        <w:numPr>
          <w:ilvl w:val="0"/>
          <w:numId w:val="7"/>
        </w:numPr>
        <w:shd w:val="clear" w:color="auto" w:fill="FFFFFF"/>
        <w:spacing w:before="166" w:line="360" w:lineRule="auto"/>
        <w:jc w:val="both"/>
        <w:rPr>
          <w:rFonts w:ascii="Arial" w:eastAsia="Times New Roman" w:hAnsi="Arial" w:cs="Arial"/>
          <w:sz w:val="24"/>
          <w:szCs w:val="24"/>
        </w:rPr>
      </w:pPr>
      <w:r w:rsidRPr="0029515D">
        <w:rPr>
          <w:rFonts w:ascii="Arial" w:hAnsi="Arial" w:cs="Arial"/>
          <w:sz w:val="24"/>
          <w:szCs w:val="24"/>
        </w:rPr>
        <w:t xml:space="preserve">Organize new knowledge for </w:t>
      </w:r>
      <w:r w:rsidR="00FC2A2F" w:rsidRPr="0029515D">
        <w:rPr>
          <w:rFonts w:ascii="Arial" w:hAnsi="Arial" w:cs="Arial"/>
          <w:sz w:val="24"/>
          <w:szCs w:val="24"/>
        </w:rPr>
        <w:t>Member States’</w:t>
      </w:r>
      <w:r w:rsidRPr="0029515D">
        <w:rPr>
          <w:rFonts w:ascii="Arial" w:hAnsi="Arial" w:cs="Arial"/>
          <w:sz w:val="24"/>
          <w:szCs w:val="24"/>
        </w:rPr>
        <w:t xml:space="preserve"> sharing with relevant actors to inform SRHR policy and practice.</w:t>
      </w:r>
    </w:p>
    <w:p w14:paraId="2EAFB0E1" w14:textId="77777777" w:rsidR="004E1C02" w:rsidRPr="0029515D" w:rsidRDefault="004E1C02" w:rsidP="004E1C02">
      <w:pPr>
        <w:shd w:val="clear" w:color="auto" w:fill="FFFFFF"/>
        <w:spacing w:before="166" w:line="360" w:lineRule="auto"/>
        <w:jc w:val="both"/>
        <w:rPr>
          <w:rFonts w:ascii="Arial" w:eastAsia="Times New Roman" w:hAnsi="Arial" w:cs="Arial"/>
          <w:sz w:val="24"/>
          <w:szCs w:val="24"/>
        </w:rPr>
      </w:pPr>
    </w:p>
    <w:p w14:paraId="40251C31" w14:textId="149F6A4C" w:rsidR="007B6685" w:rsidRPr="0029515D" w:rsidRDefault="007B6685" w:rsidP="007B6685">
      <w:pPr>
        <w:spacing w:before="360" w:after="360" w:line="360" w:lineRule="auto"/>
        <w:jc w:val="both"/>
        <w:rPr>
          <w:rFonts w:ascii="Arial" w:eastAsia="Times New Roman" w:hAnsi="Arial" w:cs="Arial"/>
          <w:b/>
          <w:bCs/>
          <w:sz w:val="24"/>
          <w:szCs w:val="24"/>
        </w:rPr>
      </w:pPr>
      <w:r w:rsidRPr="0029515D">
        <w:rPr>
          <w:rFonts w:ascii="Arial" w:eastAsia="Times New Roman" w:hAnsi="Arial" w:cs="Arial"/>
          <w:b/>
          <w:bCs/>
          <w:sz w:val="24"/>
          <w:szCs w:val="24"/>
        </w:rPr>
        <w:lastRenderedPageBreak/>
        <w:t>Scope of Work and Key Outputs</w:t>
      </w:r>
    </w:p>
    <w:p w14:paraId="6AB75625" w14:textId="77777777" w:rsidR="007B6685" w:rsidRPr="0029515D" w:rsidRDefault="007B6685" w:rsidP="007B6685">
      <w:pPr>
        <w:spacing w:before="360" w:after="360" w:line="360" w:lineRule="auto"/>
        <w:jc w:val="both"/>
        <w:rPr>
          <w:rFonts w:ascii="Arial" w:eastAsia="Times New Roman" w:hAnsi="Arial" w:cs="Arial"/>
          <w:sz w:val="24"/>
          <w:szCs w:val="24"/>
        </w:rPr>
      </w:pPr>
      <w:r w:rsidRPr="0029515D">
        <w:rPr>
          <w:rFonts w:ascii="Arial" w:eastAsia="Times New Roman" w:hAnsi="Arial" w:cs="Arial"/>
          <w:b/>
          <w:bCs/>
          <w:sz w:val="24"/>
          <w:szCs w:val="24"/>
        </w:rPr>
        <w:t>Key Activities and Deliverables (20 Days Assignment)</w:t>
      </w:r>
    </w:p>
    <w:tbl>
      <w:tblPr>
        <w:tblW w:w="9892" w:type="dxa"/>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802"/>
        <w:gridCol w:w="2016"/>
        <w:gridCol w:w="1104"/>
        <w:gridCol w:w="990"/>
        <w:gridCol w:w="990"/>
        <w:gridCol w:w="990"/>
      </w:tblGrid>
      <w:tr w:rsidR="0029515D" w:rsidRPr="0029515D" w14:paraId="6C708E49" w14:textId="77777777" w:rsidTr="005E55A5">
        <w:trPr>
          <w:trHeight w:val="705"/>
          <w:jc w:val="center"/>
        </w:trPr>
        <w:tc>
          <w:tcPr>
            <w:tcW w:w="3802" w:type="dxa"/>
            <w:tcBorders>
              <w:top w:val="outset" w:sz="6" w:space="0" w:color="auto"/>
              <w:left w:val="outset" w:sz="6" w:space="0" w:color="auto"/>
              <w:bottom w:val="outset" w:sz="6" w:space="0" w:color="auto"/>
              <w:right w:val="outset" w:sz="6" w:space="0" w:color="auto"/>
            </w:tcBorders>
            <w:vAlign w:val="center"/>
            <w:hideMark/>
          </w:tcPr>
          <w:p w14:paraId="1670BB2F"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b/>
                <w:bCs/>
                <w:sz w:val="24"/>
                <w:szCs w:val="24"/>
              </w:rPr>
              <w:t>Activity</w:t>
            </w:r>
          </w:p>
        </w:tc>
        <w:tc>
          <w:tcPr>
            <w:tcW w:w="2016" w:type="dxa"/>
            <w:tcBorders>
              <w:top w:val="outset" w:sz="6" w:space="0" w:color="auto"/>
              <w:left w:val="outset" w:sz="6" w:space="0" w:color="auto"/>
              <w:bottom w:val="outset" w:sz="6" w:space="0" w:color="auto"/>
              <w:right w:val="outset" w:sz="6" w:space="0" w:color="auto"/>
            </w:tcBorders>
            <w:vAlign w:val="center"/>
            <w:hideMark/>
          </w:tcPr>
          <w:p w14:paraId="7DC9C992"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b/>
                <w:bCs/>
                <w:sz w:val="24"/>
                <w:szCs w:val="24"/>
              </w:rPr>
              <w:t>Deliverable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46DB87"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b/>
                <w:bCs/>
                <w:sz w:val="24"/>
                <w:szCs w:val="24"/>
              </w:rPr>
              <w:t>No of days</w:t>
            </w:r>
          </w:p>
        </w:tc>
        <w:tc>
          <w:tcPr>
            <w:tcW w:w="990" w:type="dxa"/>
            <w:tcBorders>
              <w:top w:val="outset" w:sz="6" w:space="0" w:color="auto"/>
              <w:left w:val="outset" w:sz="6" w:space="0" w:color="auto"/>
              <w:bottom w:val="outset" w:sz="6" w:space="0" w:color="auto"/>
              <w:right w:val="outset" w:sz="6" w:space="0" w:color="auto"/>
            </w:tcBorders>
            <w:vAlign w:val="center"/>
            <w:hideMark/>
          </w:tcPr>
          <w:p w14:paraId="56609CB0" w14:textId="74146C34" w:rsidR="007B6685" w:rsidRPr="0029515D" w:rsidRDefault="00554365" w:rsidP="00554365">
            <w:pPr>
              <w:spacing w:after="0" w:line="360" w:lineRule="auto"/>
              <w:jc w:val="both"/>
              <w:rPr>
                <w:rFonts w:ascii="Arial" w:eastAsia="Times New Roman" w:hAnsi="Arial" w:cs="Arial"/>
                <w:sz w:val="24"/>
                <w:szCs w:val="24"/>
              </w:rPr>
            </w:pPr>
            <w:r>
              <w:rPr>
                <w:rFonts w:ascii="Arial" w:eastAsia="Times New Roman" w:hAnsi="Arial" w:cs="Arial"/>
                <w:b/>
                <w:bCs/>
                <w:sz w:val="24"/>
                <w:szCs w:val="24"/>
              </w:rPr>
              <w:t>11</w:t>
            </w:r>
            <w:r w:rsidR="007B6685" w:rsidRPr="0029515D">
              <w:rPr>
                <w:rFonts w:ascii="Arial" w:eastAsia="Times New Roman" w:hAnsi="Arial" w:cs="Arial"/>
                <w:b/>
                <w:bCs/>
                <w:sz w:val="24"/>
                <w:szCs w:val="24"/>
              </w:rPr>
              <w:t xml:space="preserve"> – </w:t>
            </w:r>
            <w:r>
              <w:rPr>
                <w:rFonts w:ascii="Arial" w:eastAsia="Times New Roman" w:hAnsi="Arial" w:cs="Arial"/>
                <w:b/>
                <w:bCs/>
                <w:sz w:val="24"/>
                <w:szCs w:val="24"/>
              </w:rPr>
              <w:t>12</w:t>
            </w:r>
            <w:r w:rsidR="007B6685" w:rsidRPr="0029515D">
              <w:rPr>
                <w:rFonts w:ascii="Arial" w:eastAsia="Times New Roman" w:hAnsi="Arial" w:cs="Arial"/>
                <w:b/>
                <w:bCs/>
                <w:sz w:val="24"/>
                <w:szCs w:val="24"/>
              </w:rPr>
              <w:t xml:space="preserve"> </w:t>
            </w:r>
            <w:r w:rsidR="000F03C1" w:rsidRPr="0029515D">
              <w:rPr>
                <w:rFonts w:ascii="Arial" w:eastAsia="Times New Roman" w:hAnsi="Arial" w:cs="Arial"/>
                <w:b/>
                <w:bCs/>
                <w:sz w:val="24"/>
                <w:szCs w:val="24"/>
              </w:rPr>
              <w:t>May</w:t>
            </w:r>
            <w:r w:rsidR="007B6685" w:rsidRPr="0029515D">
              <w:rPr>
                <w:rFonts w:ascii="Arial" w:eastAsia="Times New Roman" w:hAnsi="Arial" w:cs="Arial"/>
                <w:b/>
                <w:bCs/>
                <w:sz w:val="24"/>
                <w:szCs w:val="24"/>
              </w:rPr>
              <w:t xml:space="preserve"> 2020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367F330" w14:textId="63A3C269" w:rsidR="007B6685" w:rsidRPr="0029515D" w:rsidRDefault="00554365" w:rsidP="00554365">
            <w:pPr>
              <w:spacing w:after="0" w:line="360" w:lineRule="auto"/>
              <w:jc w:val="both"/>
              <w:rPr>
                <w:rFonts w:ascii="Arial" w:eastAsia="Times New Roman" w:hAnsi="Arial" w:cs="Arial"/>
                <w:sz w:val="24"/>
                <w:szCs w:val="24"/>
              </w:rPr>
            </w:pPr>
            <w:r>
              <w:rPr>
                <w:rFonts w:ascii="Arial" w:eastAsia="Times New Roman" w:hAnsi="Arial" w:cs="Arial"/>
                <w:b/>
                <w:bCs/>
                <w:sz w:val="24"/>
                <w:szCs w:val="24"/>
              </w:rPr>
              <w:t>13</w:t>
            </w:r>
            <w:r w:rsidR="000F03C1" w:rsidRPr="0029515D">
              <w:rPr>
                <w:rFonts w:ascii="Arial" w:eastAsia="Times New Roman" w:hAnsi="Arial" w:cs="Arial"/>
                <w:b/>
                <w:bCs/>
                <w:sz w:val="24"/>
                <w:szCs w:val="24"/>
              </w:rPr>
              <w:t xml:space="preserve"> May</w:t>
            </w:r>
            <w:r>
              <w:rPr>
                <w:rFonts w:ascii="Arial" w:eastAsia="Times New Roman" w:hAnsi="Arial" w:cs="Arial"/>
                <w:b/>
                <w:bCs/>
                <w:sz w:val="24"/>
                <w:szCs w:val="24"/>
              </w:rPr>
              <w:t xml:space="preserve"> – 4 June</w:t>
            </w:r>
            <w:r w:rsidR="007B6685" w:rsidRPr="0029515D">
              <w:rPr>
                <w:rFonts w:ascii="Arial" w:eastAsia="Times New Roman" w:hAnsi="Arial" w:cs="Arial"/>
                <w:b/>
                <w:bCs/>
                <w:sz w:val="24"/>
                <w:szCs w:val="24"/>
              </w:rPr>
              <w:t xml:space="preserve"> 2020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5E95DD1" w14:textId="11DDE1BB" w:rsidR="007B6685" w:rsidRPr="0029515D" w:rsidRDefault="00554365" w:rsidP="005E55A5">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5 June</w:t>
            </w:r>
            <w:r w:rsidR="007B6685" w:rsidRPr="0029515D">
              <w:rPr>
                <w:rFonts w:ascii="Arial" w:eastAsia="Times New Roman" w:hAnsi="Arial" w:cs="Arial"/>
                <w:b/>
                <w:bCs/>
                <w:sz w:val="24"/>
                <w:szCs w:val="24"/>
              </w:rPr>
              <w:t xml:space="preserve"> 2020</w:t>
            </w:r>
          </w:p>
          <w:p w14:paraId="74C0EB8C" w14:textId="77777777" w:rsidR="007B6685" w:rsidRPr="0029515D" w:rsidRDefault="007B6685" w:rsidP="005E55A5">
            <w:pPr>
              <w:spacing w:after="0" w:line="360" w:lineRule="auto"/>
              <w:jc w:val="both"/>
              <w:rPr>
                <w:rFonts w:ascii="Arial" w:eastAsia="Times New Roman" w:hAnsi="Arial" w:cs="Arial"/>
                <w:b/>
                <w:bCs/>
                <w:sz w:val="24"/>
                <w:szCs w:val="24"/>
              </w:rPr>
            </w:pPr>
          </w:p>
          <w:p w14:paraId="281944C9" w14:textId="77777777" w:rsidR="007B6685" w:rsidRPr="0029515D" w:rsidRDefault="007B6685" w:rsidP="005E55A5">
            <w:pPr>
              <w:spacing w:after="0" w:line="360" w:lineRule="auto"/>
              <w:jc w:val="both"/>
              <w:rPr>
                <w:rFonts w:ascii="Arial" w:eastAsia="Times New Roman" w:hAnsi="Arial" w:cs="Arial"/>
                <w:sz w:val="24"/>
                <w:szCs w:val="24"/>
              </w:rPr>
            </w:pPr>
          </w:p>
        </w:tc>
      </w:tr>
      <w:tr w:rsidR="0029515D" w:rsidRPr="0029515D" w14:paraId="21CC84E2" w14:textId="77777777" w:rsidTr="005E55A5">
        <w:trPr>
          <w:trHeight w:val="1299"/>
          <w:jc w:val="center"/>
        </w:trPr>
        <w:tc>
          <w:tcPr>
            <w:tcW w:w="3802" w:type="dxa"/>
            <w:tcBorders>
              <w:top w:val="outset" w:sz="6" w:space="0" w:color="auto"/>
              <w:left w:val="outset" w:sz="6" w:space="0" w:color="auto"/>
              <w:bottom w:val="outset" w:sz="6" w:space="0" w:color="auto"/>
              <w:right w:val="outset" w:sz="6" w:space="0" w:color="auto"/>
            </w:tcBorders>
            <w:vAlign w:val="center"/>
          </w:tcPr>
          <w:p w14:paraId="350F7A5C" w14:textId="77777777" w:rsidR="007B6685" w:rsidRPr="0029515D" w:rsidRDefault="007B6685" w:rsidP="007B6685">
            <w:pPr>
              <w:numPr>
                <w:ilvl w:val="0"/>
                <w:numId w:val="3"/>
              </w:numPr>
              <w:spacing w:before="100" w:beforeAutospacing="1" w:after="100" w:afterAutospacing="1" w:line="360" w:lineRule="auto"/>
              <w:ind w:left="0"/>
              <w:jc w:val="both"/>
              <w:rPr>
                <w:rFonts w:ascii="Arial" w:eastAsia="Times New Roman" w:hAnsi="Arial" w:cs="Arial"/>
                <w:sz w:val="24"/>
                <w:szCs w:val="24"/>
              </w:rPr>
            </w:pPr>
            <w:r w:rsidRPr="0029515D">
              <w:rPr>
                <w:rFonts w:ascii="Arial" w:eastAsia="Times New Roman" w:hAnsi="Arial" w:cs="Arial"/>
                <w:sz w:val="24"/>
                <w:szCs w:val="24"/>
              </w:rPr>
              <w:t>Prepare a Study Inception Plan</w:t>
            </w:r>
          </w:p>
        </w:tc>
        <w:tc>
          <w:tcPr>
            <w:tcW w:w="2016" w:type="dxa"/>
            <w:tcBorders>
              <w:top w:val="outset" w:sz="6" w:space="0" w:color="auto"/>
              <w:left w:val="outset" w:sz="6" w:space="0" w:color="auto"/>
              <w:bottom w:val="outset" w:sz="6" w:space="0" w:color="auto"/>
              <w:right w:val="outset" w:sz="6" w:space="0" w:color="auto"/>
            </w:tcBorders>
            <w:vAlign w:val="center"/>
          </w:tcPr>
          <w:p w14:paraId="2DD5EE5E"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Study Inception Report</w:t>
            </w:r>
          </w:p>
        </w:tc>
        <w:tc>
          <w:tcPr>
            <w:tcW w:w="1104" w:type="dxa"/>
            <w:tcBorders>
              <w:top w:val="outset" w:sz="6" w:space="0" w:color="auto"/>
              <w:left w:val="outset" w:sz="6" w:space="0" w:color="auto"/>
              <w:bottom w:val="outset" w:sz="6" w:space="0" w:color="auto"/>
              <w:right w:val="outset" w:sz="6" w:space="0" w:color="auto"/>
            </w:tcBorders>
            <w:vAlign w:val="center"/>
          </w:tcPr>
          <w:p w14:paraId="032668EA" w14:textId="77777777" w:rsidR="007B6685" w:rsidRPr="0029515D" w:rsidRDefault="007B6685" w:rsidP="005E55A5">
            <w:pPr>
              <w:spacing w:after="0" w:line="360" w:lineRule="auto"/>
              <w:jc w:val="center"/>
              <w:rPr>
                <w:rFonts w:ascii="Arial" w:eastAsia="Times New Roman" w:hAnsi="Arial" w:cs="Arial"/>
                <w:sz w:val="24"/>
                <w:szCs w:val="24"/>
              </w:rPr>
            </w:pPr>
            <w:r w:rsidRPr="0029515D">
              <w:rPr>
                <w:rFonts w:ascii="Arial" w:eastAsia="Times New Roman" w:hAnsi="Arial" w:cs="Arial"/>
                <w:sz w:val="24"/>
                <w:szCs w:val="24"/>
              </w:rPr>
              <w:t>2</w:t>
            </w:r>
          </w:p>
        </w:tc>
        <w:tc>
          <w:tcPr>
            <w:tcW w:w="990" w:type="dxa"/>
            <w:tcBorders>
              <w:top w:val="outset" w:sz="6" w:space="0" w:color="auto"/>
              <w:left w:val="outset" w:sz="6" w:space="0" w:color="auto"/>
              <w:bottom w:val="outset" w:sz="6" w:space="0" w:color="auto"/>
              <w:right w:val="outset" w:sz="6" w:space="0" w:color="auto"/>
            </w:tcBorders>
            <w:vAlign w:val="center"/>
          </w:tcPr>
          <w:p w14:paraId="73938789"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X</w:t>
            </w:r>
          </w:p>
        </w:tc>
        <w:tc>
          <w:tcPr>
            <w:tcW w:w="990" w:type="dxa"/>
            <w:tcBorders>
              <w:top w:val="outset" w:sz="6" w:space="0" w:color="auto"/>
              <w:left w:val="outset" w:sz="6" w:space="0" w:color="auto"/>
              <w:bottom w:val="outset" w:sz="6" w:space="0" w:color="auto"/>
              <w:right w:val="outset" w:sz="6" w:space="0" w:color="auto"/>
            </w:tcBorders>
            <w:vAlign w:val="center"/>
          </w:tcPr>
          <w:p w14:paraId="7DC38B41" w14:textId="77777777" w:rsidR="007B6685" w:rsidRPr="0029515D" w:rsidRDefault="007B6685" w:rsidP="005E55A5">
            <w:pPr>
              <w:spacing w:after="0" w:line="360" w:lineRule="auto"/>
              <w:jc w:val="both"/>
              <w:rPr>
                <w:rFonts w:ascii="Arial" w:eastAsia="Times New Roman" w:hAnsi="Arial" w:cs="Arial"/>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tcPr>
          <w:p w14:paraId="51C23087" w14:textId="77777777" w:rsidR="007B6685" w:rsidRPr="0029515D" w:rsidRDefault="007B6685" w:rsidP="005E55A5">
            <w:pPr>
              <w:spacing w:after="0" w:line="360" w:lineRule="auto"/>
              <w:jc w:val="both"/>
              <w:rPr>
                <w:rFonts w:ascii="Arial" w:eastAsia="Times New Roman" w:hAnsi="Arial" w:cs="Arial"/>
                <w:sz w:val="24"/>
                <w:szCs w:val="24"/>
              </w:rPr>
            </w:pPr>
          </w:p>
        </w:tc>
      </w:tr>
      <w:tr w:rsidR="0029515D" w:rsidRPr="0029515D" w14:paraId="5FB8D1F1" w14:textId="77777777" w:rsidTr="005E55A5">
        <w:trPr>
          <w:trHeight w:val="1956"/>
          <w:jc w:val="center"/>
        </w:trPr>
        <w:tc>
          <w:tcPr>
            <w:tcW w:w="3802" w:type="dxa"/>
            <w:tcBorders>
              <w:top w:val="outset" w:sz="6" w:space="0" w:color="auto"/>
              <w:left w:val="outset" w:sz="6" w:space="0" w:color="auto"/>
              <w:bottom w:val="outset" w:sz="6" w:space="0" w:color="auto"/>
              <w:right w:val="outset" w:sz="6" w:space="0" w:color="auto"/>
            </w:tcBorders>
            <w:vAlign w:val="center"/>
          </w:tcPr>
          <w:p w14:paraId="3E12A3C6" w14:textId="77777777" w:rsidR="007B6685" w:rsidRPr="0029515D" w:rsidRDefault="00E222DD" w:rsidP="007B6685">
            <w:pPr>
              <w:numPr>
                <w:ilvl w:val="0"/>
                <w:numId w:val="4"/>
              </w:numPr>
              <w:spacing w:before="100" w:beforeAutospacing="1" w:after="100" w:afterAutospacing="1" w:line="360" w:lineRule="auto"/>
              <w:ind w:left="0"/>
              <w:jc w:val="both"/>
              <w:rPr>
                <w:rFonts w:ascii="Arial" w:eastAsia="Times New Roman" w:hAnsi="Arial" w:cs="Arial"/>
                <w:sz w:val="24"/>
                <w:szCs w:val="24"/>
              </w:rPr>
            </w:pPr>
            <w:r w:rsidRPr="0029515D">
              <w:rPr>
                <w:rFonts w:ascii="Arial" w:eastAsia="Times New Roman" w:hAnsi="Arial" w:cs="Arial"/>
                <w:sz w:val="24"/>
                <w:szCs w:val="24"/>
              </w:rPr>
              <w:t>Prepare a progress update report/Recommendations</w:t>
            </w:r>
          </w:p>
        </w:tc>
        <w:tc>
          <w:tcPr>
            <w:tcW w:w="2016" w:type="dxa"/>
            <w:tcBorders>
              <w:top w:val="outset" w:sz="6" w:space="0" w:color="auto"/>
              <w:left w:val="outset" w:sz="6" w:space="0" w:color="auto"/>
              <w:bottom w:val="outset" w:sz="6" w:space="0" w:color="auto"/>
              <w:right w:val="outset" w:sz="6" w:space="0" w:color="auto"/>
            </w:tcBorders>
            <w:vAlign w:val="center"/>
          </w:tcPr>
          <w:p w14:paraId="6C21BC51" w14:textId="77777777" w:rsidR="007B6685" w:rsidRPr="0029515D" w:rsidRDefault="00E222DD"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SRHR Progress Report</w:t>
            </w:r>
          </w:p>
        </w:tc>
        <w:tc>
          <w:tcPr>
            <w:tcW w:w="1104" w:type="dxa"/>
            <w:tcBorders>
              <w:top w:val="outset" w:sz="6" w:space="0" w:color="auto"/>
              <w:left w:val="outset" w:sz="6" w:space="0" w:color="auto"/>
              <w:bottom w:val="outset" w:sz="6" w:space="0" w:color="auto"/>
              <w:right w:val="outset" w:sz="6" w:space="0" w:color="auto"/>
            </w:tcBorders>
            <w:vAlign w:val="center"/>
          </w:tcPr>
          <w:p w14:paraId="65426403" w14:textId="77777777" w:rsidR="007B6685" w:rsidRPr="0029515D" w:rsidRDefault="00E222DD" w:rsidP="005E55A5">
            <w:pPr>
              <w:spacing w:after="0" w:line="360" w:lineRule="auto"/>
              <w:jc w:val="center"/>
              <w:rPr>
                <w:rFonts w:ascii="Arial" w:eastAsia="Times New Roman" w:hAnsi="Arial" w:cs="Arial"/>
                <w:sz w:val="24"/>
                <w:szCs w:val="24"/>
              </w:rPr>
            </w:pPr>
            <w:r w:rsidRPr="0029515D">
              <w:rPr>
                <w:rFonts w:ascii="Arial" w:eastAsia="Times New Roman" w:hAnsi="Arial" w:cs="Arial"/>
                <w:sz w:val="24"/>
                <w:szCs w:val="24"/>
              </w:rPr>
              <w:t>17</w:t>
            </w:r>
          </w:p>
        </w:tc>
        <w:tc>
          <w:tcPr>
            <w:tcW w:w="990" w:type="dxa"/>
            <w:tcBorders>
              <w:top w:val="outset" w:sz="6" w:space="0" w:color="auto"/>
              <w:left w:val="outset" w:sz="6" w:space="0" w:color="auto"/>
              <w:bottom w:val="outset" w:sz="6" w:space="0" w:color="auto"/>
              <w:right w:val="outset" w:sz="6" w:space="0" w:color="auto"/>
            </w:tcBorders>
            <w:vAlign w:val="center"/>
          </w:tcPr>
          <w:p w14:paraId="3F03B935" w14:textId="4A77FCE6" w:rsidR="007B6685" w:rsidRPr="0029515D" w:rsidRDefault="00554365" w:rsidP="005E55A5">
            <w:pPr>
              <w:spacing w:after="0" w:line="360" w:lineRule="auto"/>
              <w:jc w:val="both"/>
              <w:rPr>
                <w:rFonts w:ascii="Arial" w:eastAsia="Times New Roman" w:hAnsi="Arial" w:cs="Arial"/>
                <w:sz w:val="24"/>
                <w:szCs w:val="24"/>
              </w:rPr>
            </w:pPr>
            <w:r>
              <w:rPr>
                <w:rFonts w:ascii="Arial" w:eastAsia="Times New Roman" w:hAnsi="Arial" w:cs="Arial"/>
                <w:sz w:val="24"/>
                <w:szCs w:val="24"/>
              </w:rPr>
              <w:t>X</w:t>
            </w:r>
          </w:p>
        </w:tc>
        <w:tc>
          <w:tcPr>
            <w:tcW w:w="990" w:type="dxa"/>
            <w:tcBorders>
              <w:top w:val="outset" w:sz="6" w:space="0" w:color="auto"/>
              <w:left w:val="outset" w:sz="6" w:space="0" w:color="auto"/>
              <w:bottom w:val="outset" w:sz="6" w:space="0" w:color="auto"/>
              <w:right w:val="outset" w:sz="6" w:space="0" w:color="auto"/>
            </w:tcBorders>
            <w:vAlign w:val="center"/>
          </w:tcPr>
          <w:p w14:paraId="0CE4F23C" w14:textId="77777777" w:rsidR="007B6685" w:rsidRPr="0029515D" w:rsidRDefault="00E222DD"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X</w:t>
            </w:r>
          </w:p>
        </w:tc>
        <w:tc>
          <w:tcPr>
            <w:tcW w:w="990" w:type="dxa"/>
            <w:tcBorders>
              <w:top w:val="outset" w:sz="6" w:space="0" w:color="auto"/>
              <w:left w:val="outset" w:sz="6" w:space="0" w:color="auto"/>
              <w:bottom w:val="outset" w:sz="6" w:space="0" w:color="auto"/>
              <w:right w:val="outset" w:sz="6" w:space="0" w:color="auto"/>
            </w:tcBorders>
            <w:vAlign w:val="center"/>
          </w:tcPr>
          <w:p w14:paraId="462DA251" w14:textId="77777777" w:rsidR="007B6685" w:rsidRPr="0029515D" w:rsidRDefault="007B6685" w:rsidP="005E55A5">
            <w:pPr>
              <w:spacing w:after="0" w:line="360" w:lineRule="auto"/>
              <w:jc w:val="both"/>
              <w:rPr>
                <w:rFonts w:ascii="Arial" w:eastAsia="Times New Roman" w:hAnsi="Arial" w:cs="Arial"/>
                <w:sz w:val="24"/>
                <w:szCs w:val="24"/>
              </w:rPr>
            </w:pPr>
          </w:p>
        </w:tc>
      </w:tr>
      <w:tr w:rsidR="007B6685" w:rsidRPr="0029515D" w14:paraId="038C6EA8" w14:textId="77777777" w:rsidTr="005E55A5">
        <w:trPr>
          <w:trHeight w:val="210"/>
          <w:jc w:val="center"/>
        </w:trPr>
        <w:tc>
          <w:tcPr>
            <w:tcW w:w="3802" w:type="dxa"/>
            <w:tcBorders>
              <w:top w:val="outset" w:sz="6" w:space="0" w:color="auto"/>
              <w:left w:val="outset" w:sz="6" w:space="0" w:color="auto"/>
              <w:bottom w:val="outset" w:sz="6" w:space="0" w:color="auto"/>
              <w:right w:val="outset" w:sz="6" w:space="0" w:color="auto"/>
            </w:tcBorders>
            <w:vAlign w:val="center"/>
            <w:hideMark/>
          </w:tcPr>
          <w:p w14:paraId="505B068E"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 xml:space="preserve">Submit Study Report </w:t>
            </w:r>
          </w:p>
        </w:tc>
        <w:tc>
          <w:tcPr>
            <w:tcW w:w="2016" w:type="dxa"/>
            <w:tcBorders>
              <w:top w:val="outset" w:sz="6" w:space="0" w:color="auto"/>
              <w:left w:val="outset" w:sz="6" w:space="0" w:color="auto"/>
              <w:bottom w:val="outset" w:sz="6" w:space="0" w:color="auto"/>
              <w:right w:val="outset" w:sz="6" w:space="0" w:color="auto"/>
            </w:tcBorders>
            <w:vAlign w:val="center"/>
            <w:hideMark/>
          </w:tcPr>
          <w:p w14:paraId="4F176707"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Study Report</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D85188" w14:textId="77777777" w:rsidR="007B6685" w:rsidRPr="0029515D" w:rsidRDefault="007B6685" w:rsidP="005E55A5">
            <w:pPr>
              <w:spacing w:after="0" w:line="360" w:lineRule="auto"/>
              <w:jc w:val="center"/>
              <w:rPr>
                <w:rFonts w:ascii="Arial" w:eastAsia="Times New Roman" w:hAnsi="Arial" w:cs="Arial"/>
                <w:sz w:val="24"/>
                <w:szCs w:val="24"/>
              </w:rPr>
            </w:pPr>
            <w:r w:rsidRPr="0029515D">
              <w:rPr>
                <w:rFonts w:ascii="Arial" w:eastAsia="Times New Roman" w:hAnsi="Arial" w:cs="Arial"/>
                <w:sz w:val="24"/>
                <w:szCs w:val="24"/>
              </w:rPr>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38BCAE04"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96CA09A"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 </w:t>
            </w:r>
          </w:p>
          <w:p w14:paraId="175A02EC" w14:textId="77777777" w:rsidR="007B6685" w:rsidRPr="0029515D" w:rsidRDefault="007B6685" w:rsidP="005E55A5">
            <w:pPr>
              <w:spacing w:after="0" w:line="360" w:lineRule="auto"/>
              <w:jc w:val="both"/>
              <w:rPr>
                <w:rFonts w:ascii="Arial" w:eastAsia="Times New Roman" w:hAnsi="Arial" w:cs="Arial"/>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732EDC71" w14:textId="77777777" w:rsidR="007B6685" w:rsidRPr="0029515D" w:rsidRDefault="007B6685" w:rsidP="005E55A5">
            <w:pPr>
              <w:spacing w:after="0" w:line="360" w:lineRule="auto"/>
              <w:jc w:val="both"/>
              <w:rPr>
                <w:rFonts w:ascii="Arial" w:eastAsia="Times New Roman" w:hAnsi="Arial" w:cs="Arial"/>
                <w:sz w:val="24"/>
                <w:szCs w:val="24"/>
              </w:rPr>
            </w:pPr>
            <w:r w:rsidRPr="0029515D">
              <w:rPr>
                <w:rFonts w:ascii="Arial" w:eastAsia="Times New Roman" w:hAnsi="Arial" w:cs="Arial"/>
                <w:sz w:val="24"/>
                <w:szCs w:val="24"/>
              </w:rPr>
              <w:t>X</w:t>
            </w:r>
          </w:p>
          <w:p w14:paraId="67CBCA8B" w14:textId="5E317FFB" w:rsidR="007B6685" w:rsidRPr="0029515D" w:rsidRDefault="00554365" w:rsidP="005E55A5">
            <w:pPr>
              <w:spacing w:after="0" w:line="360" w:lineRule="auto"/>
              <w:jc w:val="both"/>
              <w:rPr>
                <w:rFonts w:ascii="Arial" w:eastAsia="Times New Roman" w:hAnsi="Arial" w:cs="Arial"/>
                <w:sz w:val="24"/>
                <w:szCs w:val="24"/>
              </w:rPr>
            </w:pPr>
            <w:r>
              <w:rPr>
                <w:rFonts w:ascii="Arial" w:eastAsia="Times New Roman" w:hAnsi="Arial" w:cs="Arial"/>
                <w:sz w:val="24"/>
                <w:szCs w:val="24"/>
              </w:rPr>
              <w:t>5 June 2020</w:t>
            </w:r>
          </w:p>
          <w:p w14:paraId="10261B21" w14:textId="77777777" w:rsidR="007B6685" w:rsidRPr="0029515D" w:rsidRDefault="007B6685" w:rsidP="005E55A5">
            <w:pPr>
              <w:spacing w:after="0" w:line="360" w:lineRule="auto"/>
              <w:jc w:val="both"/>
              <w:rPr>
                <w:rFonts w:ascii="Arial" w:eastAsia="Times New Roman" w:hAnsi="Arial" w:cs="Arial"/>
                <w:sz w:val="24"/>
                <w:szCs w:val="24"/>
              </w:rPr>
            </w:pPr>
          </w:p>
          <w:p w14:paraId="20EB724B" w14:textId="77777777" w:rsidR="007B6685" w:rsidRPr="0029515D" w:rsidRDefault="007B6685" w:rsidP="005E55A5">
            <w:pPr>
              <w:spacing w:after="0" w:line="360" w:lineRule="auto"/>
              <w:jc w:val="both"/>
              <w:rPr>
                <w:rFonts w:ascii="Arial" w:eastAsia="Times New Roman" w:hAnsi="Arial" w:cs="Arial"/>
                <w:sz w:val="24"/>
                <w:szCs w:val="24"/>
              </w:rPr>
            </w:pPr>
          </w:p>
        </w:tc>
      </w:tr>
    </w:tbl>
    <w:p w14:paraId="3D7DDA7B" w14:textId="77777777" w:rsidR="007B6685" w:rsidRPr="0029515D" w:rsidRDefault="007B6685" w:rsidP="007B6685">
      <w:pPr>
        <w:tabs>
          <w:tab w:val="left" w:pos="284"/>
        </w:tabs>
        <w:spacing w:before="240" w:line="360" w:lineRule="auto"/>
        <w:jc w:val="both"/>
        <w:rPr>
          <w:rFonts w:ascii="Arial" w:eastAsia="Times New Roman" w:hAnsi="Arial" w:cs="Arial"/>
          <w:b/>
          <w:bCs/>
          <w:sz w:val="24"/>
          <w:szCs w:val="24"/>
        </w:rPr>
      </w:pPr>
    </w:p>
    <w:p w14:paraId="2033640C" w14:textId="77777777" w:rsidR="007B6685" w:rsidRPr="0029515D" w:rsidRDefault="007B6685" w:rsidP="007B6685">
      <w:pPr>
        <w:tabs>
          <w:tab w:val="left" w:pos="284"/>
        </w:tabs>
        <w:spacing w:before="240" w:line="360" w:lineRule="auto"/>
        <w:jc w:val="both"/>
        <w:rPr>
          <w:rFonts w:ascii="Arial" w:eastAsia="Times New Roman" w:hAnsi="Arial" w:cs="Arial"/>
          <w:sz w:val="24"/>
          <w:szCs w:val="24"/>
        </w:rPr>
      </w:pPr>
      <w:r w:rsidRPr="0029515D">
        <w:rPr>
          <w:rFonts w:ascii="Arial" w:eastAsia="Times New Roman" w:hAnsi="Arial" w:cs="Arial"/>
          <w:b/>
          <w:bCs/>
          <w:sz w:val="24"/>
          <w:szCs w:val="24"/>
        </w:rPr>
        <w:t xml:space="preserve">Consultant Requirements and Submission Information </w:t>
      </w:r>
      <w:r w:rsidRPr="0029515D">
        <w:rPr>
          <w:rFonts w:ascii="Arial" w:eastAsia="Times New Roman" w:hAnsi="Arial" w:cs="Arial"/>
          <w:sz w:val="24"/>
          <w:szCs w:val="24"/>
        </w:rPr>
        <w:t>  </w:t>
      </w:r>
    </w:p>
    <w:p w14:paraId="6E91DF26" w14:textId="77777777" w:rsidR="007B6685" w:rsidRPr="0029515D" w:rsidRDefault="007B6685" w:rsidP="007B6685">
      <w:pPr>
        <w:tabs>
          <w:tab w:val="left" w:pos="284"/>
        </w:tabs>
        <w:spacing w:before="240" w:line="360" w:lineRule="auto"/>
        <w:jc w:val="both"/>
        <w:rPr>
          <w:rFonts w:ascii="Arial" w:hAnsi="Arial" w:cs="Arial"/>
          <w:b/>
          <w:sz w:val="24"/>
          <w:szCs w:val="24"/>
          <w:lang w:val="en-GB"/>
        </w:rPr>
      </w:pPr>
      <w:r w:rsidRPr="0029515D">
        <w:rPr>
          <w:rFonts w:ascii="Arial" w:hAnsi="Arial" w:cs="Arial"/>
          <w:b/>
          <w:sz w:val="24"/>
          <w:szCs w:val="24"/>
          <w:lang w:val="en-GB"/>
        </w:rPr>
        <w:t>Qualifications &amp; Experience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7630"/>
      </w:tblGrid>
      <w:tr w:rsidR="0029515D" w:rsidRPr="0029515D" w14:paraId="5F744034" w14:textId="77777777" w:rsidTr="005E55A5">
        <w:tc>
          <w:tcPr>
            <w:tcW w:w="1396" w:type="dxa"/>
          </w:tcPr>
          <w:p w14:paraId="6D2A96E2" w14:textId="77777777" w:rsidR="007B6685" w:rsidRPr="0029515D" w:rsidRDefault="007B6685" w:rsidP="005E55A5">
            <w:pPr>
              <w:tabs>
                <w:tab w:val="left" w:pos="284"/>
              </w:tabs>
              <w:spacing w:after="120" w:line="360" w:lineRule="auto"/>
              <w:jc w:val="both"/>
              <w:rPr>
                <w:rFonts w:ascii="Arial" w:hAnsi="Arial" w:cs="Arial"/>
                <w:b/>
                <w:sz w:val="24"/>
                <w:szCs w:val="24"/>
                <w:lang w:eastAsia="en-US"/>
              </w:rPr>
            </w:pPr>
            <w:r w:rsidRPr="0029515D">
              <w:rPr>
                <w:rFonts w:ascii="Arial" w:hAnsi="Arial" w:cs="Arial"/>
                <w:b/>
                <w:sz w:val="24"/>
                <w:szCs w:val="24"/>
                <w:lang w:eastAsia="en-US"/>
              </w:rPr>
              <w:t>Education:</w:t>
            </w:r>
          </w:p>
          <w:p w14:paraId="15EB5377" w14:textId="77777777" w:rsidR="007B6685" w:rsidRPr="0029515D" w:rsidRDefault="007B6685" w:rsidP="005E55A5">
            <w:pPr>
              <w:tabs>
                <w:tab w:val="left" w:pos="284"/>
              </w:tabs>
              <w:spacing w:after="120" w:line="360" w:lineRule="auto"/>
              <w:jc w:val="both"/>
              <w:rPr>
                <w:rFonts w:ascii="Arial" w:hAnsi="Arial" w:cs="Arial"/>
                <w:b/>
                <w:sz w:val="24"/>
                <w:szCs w:val="24"/>
                <w:lang w:eastAsia="en-US"/>
              </w:rPr>
            </w:pPr>
            <w:r w:rsidRPr="0029515D">
              <w:rPr>
                <w:rFonts w:ascii="Arial" w:hAnsi="Arial" w:cs="Arial"/>
                <w:b/>
                <w:sz w:val="24"/>
                <w:szCs w:val="24"/>
                <w:lang w:eastAsia="en-US"/>
              </w:rPr>
              <w:t>Knowledge &amp; Skills</w:t>
            </w:r>
          </w:p>
        </w:tc>
        <w:tc>
          <w:tcPr>
            <w:tcW w:w="7630" w:type="dxa"/>
          </w:tcPr>
          <w:p w14:paraId="7FEDBD57" w14:textId="77777777"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 xml:space="preserve">Relevant advanced academic degree (Social Sciences, </w:t>
            </w:r>
            <w:r w:rsidR="00F26A24" w:rsidRPr="0029515D">
              <w:rPr>
                <w:rFonts w:ascii="Arial" w:hAnsi="Arial" w:cs="Arial"/>
                <w:sz w:val="24"/>
                <w:szCs w:val="24"/>
              </w:rPr>
              <w:t>P</w:t>
            </w:r>
            <w:r w:rsidRPr="0029515D">
              <w:rPr>
                <w:rFonts w:ascii="Arial" w:hAnsi="Arial" w:cs="Arial"/>
                <w:sz w:val="24"/>
                <w:szCs w:val="24"/>
              </w:rPr>
              <w:t xml:space="preserve">ublic Health, Development Studies, Economics or related fields); previous experience leading teams; knowledge of </w:t>
            </w:r>
            <w:r w:rsidR="00EC4715" w:rsidRPr="0029515D">
              <w:rPr>
                <w:rFonts w:ascii="Arial" w:hAnsi="Arial" w:cs="Arial"/>
                <w:sz w:val="24"/>
                <w:szCs w:val="24"/>
              </w:rPr>
              <w:t>SRHR</w:t>
            </w:r>
            <w:r w:rsidRPr="0029515D">
              <w:rPr>
                <w:rFonts w:ascii="Arial" w:hAnsi="Arial" w:cs="Arial"/>
                <w:sz w:val="24"/>
                <w:szCs w:val="24"/>
              </w:rPr>
              <w:t>; knowledge of institutional development and capacity assessment; high quality report writing skills;</w:t>
            </w:r>
          </w:p>
          <w:p w14:paraId="5E85ACE3" w14:textId="3DAD5DF3"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lastRenderedPageBreak/>
              <w:t xml:space="preserve">Demonstrated experience in conducting </w:t>
            </w:r>
            <w:r w:rsidR="00EC4715" w:rsidRPr="0029515D">
              <w:rPr>
                <w:rFonts w:ascii="Arial" w:hAnsi="Arial" w:cs="Arial"/>
                <w:sz w:val="24"/>
                <w:szCs w:val="24"/>
              </w:rPr>
              <w:t>SRHR</w:t>
            </w:r>
            <w:r w:rsidRPr="0029515D">
              <w:rPr>
                <w:rFonts w:ascii="Arial" w:hAnsi="Arial" w:cs="Arial"/>
                <w:sz w:val="24"/>
                <w:szCs w:val="24"/>
              </w:rPr>
              <w:t xml:space="preserve"> </w:t>
            </w:r>
            <w:r w:rsidR="00452E08">
              <w:rPr>
                <w:rFonts w:ascii="Arial" w:hAnsi="Arial" w:cs="Arial"/>
                <w:sz w:val="24"/>
                <w:szCs w:val="24"/>
              </w:rPr>
              <w:t xml:space="preserve">and EUP </w:t>
            </w:r>
            <w:r w:rsidRPr="0029515D">
              <w:rPr>
                <w:rFonts w:ascii="Arial" w:hAnsi="Arial" w:cs="Arial"/>
                <w:sz w:val="24"/>
                <w:szCs w:val="24"/>
              </w:rPr>
              <w:t xml:space="preserve">studies and planning for </w:t>
            </w:r>
            <w:r w:rsidR="00EC4715" w:rsidRPr="0029515D">
              <w:rPr>
                <w:rFonts w:ascii="Arial" w:hAnsi="Arial" w:cs="Arial"/>
                <w:sz w:val="24"/>
                <w:szCs w:val="24"/>
              </w:rPr>
              <w:t>SRHR</w:t>
            </w:r>
            <w:r w:rsidRPr="0029515D">
              <w:rPr>
                <w:rFonts w:ascii="Arial" w:hAnsi="Arial" w:cs="Arial"/>
                <w:sz w:val="24"/>
                <w:szCs w:val="24"/>
              </w:rPr>
              <w:t xml:space="preserve"> </w:t>
            </w:r>
            <w:r w:rsidR="00452E08">
              <w:rPr>
                <w:rFonts w:ascii="Arial" w:hAnsi="Arial" w:cs="Arial"/>
                <w:sz w:val="24"/>
                <w:szCs w:val="24"/>
              </w:rPr>
              <w:t xml:space="preserve">and EUP </w:t>
            </w:r>
            <w:r w:rsidRPr="0029515D">
              <w:rPr>
                <w:rFonts w:ascii="Arial" w:hAnsi="Arial" w:cs="Arial"/>
                <w:sz w:val="24"/>
                <w:szCs w:val="24"/>
              </w:rPr>
              <w:t>campaigns.</w:t>
            </w:r>
          </w:p>
          <w:p w14:paraId="49466B16" w14:textId="6260F59E"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 xml:space="preserve">Demonstrated experience in institutional development and with knowledge of </w:t>
            </w:r>
            <w:r w:rsidR="003C44D2">
              <w:rPr>
                <w:rFonts w:ascii="Arial" w:hAnsi="Arial" w:cs="Arial"/>
                <w:sz w:val="24"/>
                <w:szCs w:val="24"/>
              </w:rPr>
              <w:t xml:space="preserve">SRHR and EUP </w:t>
            </w:r>
            <w:bookmarkStart w:id="0" w:name="_GoBack"/>
            <w:bookmarkEnd w:id="0"/>
            <w:r w:rsidRPr="0029515D">
              <w:rPr>
                <w:rFonts w:ascii="Arial" w:hAnsi="Arial" w:cs="Arial"/>
                <w:sz w:val="24"/>
                <w:szCs w:val="24"/>
              </w:rPr>
              <w:t>programmes and implementation;</w:t>
            </w:r>
          </w:p>
          <w:p w14:paraId="2D87170A" w14:textId="77777777"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Experience working with governments, international donors and others.</w:t>
            </w:r>
          </w:p>
          <w:p w14:paraId="328BB1A0" w14:textId="77777777"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Knowledge and skills in capacity assessment in relation to large scale public programmes;</w:t>
            </w:r>
          </w:p>
          <w:p w14:paraId="342A1C8B" w14:textId="77777777"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Specific knowledge of mapping, programmes coordination and data base development;</w:t>
            </w:r>
          </w:p>
          <w:p w14:paraId="4E95DD08" w14:textId="77777777" w:rsidR="007B6685" w:rsidRPr="0029515D" w:rsidRDefault="007B6685" w:rsidP="007B6685">
            <w:pPr>
              <w:pStyle w:val="ListParagraph"/>
              <w:numPr>
                <w:ilvl w:val="0"/>
                <w:numId w:val="6"/>
              </w:numPr>
              <w:spacing w:before="16" w:after="16" w:line="360" w:lineRule="auto"/>
              <w:jc w:val="both"/>
              <w:rPr>
                <w:rFonts w:ascii="Arial" w:hAnsi="Arial" w:cs="Arial"/>
                <w:sz w:val="24"/>
                <w:szCs w:val="24"/>
              </w:rPr>
            </w:pPr>
            <w:r w:rsidRPr="0029515D">
              <w:rPr>
                <w:rFonts w:ascii="Arial" w:hAnsi="Arial" w:cs="Arial"/>
                <w:sz w:val="24"/>
                <w:szCs w:val="24"/>
              </w:rPr>
              <w:t>Demonstrated ability to prepare for, facilitate and lead, national surveys;</w:t>
            </w:r>
          </w:p>
          <w:p w14:paraId="664D6242" w14:textId="77777777" w:rsidR="007B6685" w:rsidRPr="0029515D" w:rsidRDefault="007B6685" w:rsidP="007B6685">
            <w:pPr>
              <w:pStyle w:val="ListParagraph"/>
              <w:numPr>
                <w:ilvl w:val="0"/>
                <w:numId w:val="6"/>
              </w:numPr>
              <w:spacing w:line="360" w:lineRule="auto"/>
              <w:jc w:val="both"/>
              <w:rPr>
                <w:rFonts w:ascii="Arial" w:hAnsi="Arial" w:cs="Arial"/>
                <w:bCs/>
                <w:sz w:val="24"/>
                <w:szCs w:val="24"/>
                <w:lang w:eastAsia="en-US"/>
              </w:rPr>
            </w:pPr>
            <w:r w:rsidRPr="0029515D">
              <w:rPr>
                <w:rFonts w:ascii="Arial" w:hAnsi="Arial" w:cs="Arial"/>
                <w:sz w:val="24"/>
                <w:szCs w:val="24"/>
              </w:rPr>
              <w:t>Demonstrated ability to present information and ideas and to communicate effectively;</w:t>
            </w:r>
          </w:p>
          <w:p w14:paraId="41BF5C76" w14:textId="77777777" w:rsidR="007B6685" w:rsidRPr="0029515D" w:rsidRDefault="007B6685" w:rsidP="007B6685">
            <w:pPr>
              <w:pStyle w:val="ListParagraph"/>
              <w:numPr>
                <w:ilvl w:val="0"/>
                <w:numId w:val="6"/>
              </w:numPr>
              <w:spacing w:line="360" w:lineRule="auto"/>
              <w:jc w:val="both"/>
              <w:rPr>
                <w:rFonts w:ascii="Arial" w:hAnsi="Arial" w:cs="Arial"/>
                <w:bCs/>
                <w:sz w:val="24"/>
                <w:szCs w:val="24"/>
                <w:lang w:eastAsia="en-US"/>
              </w:rPr>
            </w:pPr>
            <w:r w:rsidRPr="0029515D">
              <w:rPr>
                <w:rFonts w:ascii="Arial" w:hAnsi="Arial" w:cs="Arial"/>
                <w:bCs/>
                <w:sz w:val="24"/>
                <w:szCs w:val="24"/>
                <w:lang w:eastAsia="en-US"/>
              </w:rPr>
              <w:t>Demonstrated data collection and analytical writing skills;</w:t>
            </w:r>
          </w:p>
          <w:p w14:paraId="654AF694" w14:textId="77777777" w:rsidR="007B6685" w:rsidRPr="0029515D" w:rsidRDefault="007B6685" w:rsidP="007B6685">
            <w:pPr>
              <w:pStyle w:val="ListParagraph"/>
              <w:numPr>
                <w:ilvl w:val="0"/>
                <w:numId w:val="6"/>
              </w:numPr>
              <w:spacing w:line="360" w:lineRule="auto"/>
              <w:jc w:val="both"/>
              <w:rPr>
                <w:rFonts w:ascii="Arial" w:hAnsi="Arial" w:cs="Arial"/>
                <w:bCs/>
                <w:sz w:val="24"/>
                <w:szCs w:val="24"/>
                <w:lang w:eastAsia="en-US"/>
              </w:rPr>
            </w:pPr>
            <w:r w:rsidRPr="0029515D">
              <w:rPr>
                <w:rFonts w:ascii="Arial" w:hAnsi="Arial" w:cs="Arial"/>
                <w:bCs/>
                <w:sz w:val="24"/>
                <w:szCs w:val="24"/>
                <w:lang w:eastAsia="en-US"/>
              </w:rPr>
              <w:t>Knowledge of the East and Southern Africa Community (EAC &amp; SADC) administrative structures is an added advantage;</w:t>
            </w:r>
          </w:p>
          <w:p w14:paraId="07E27232" w14:textId="77777777" w:rsidR="007B6685" w:rsidRPr="0029515D" w:rsidRDefault="007B6685" w:rsidP="007B6685">
            <w:pPr>
              <w:pStyle w:val="ListParagraph"/>
              <w:numPr>
                <w:ilvl w:val="0"/>
                <w:numId w:val="6"/>
              </w:numPr>
              <w:spacing w:line="360" w:lineRule="auto"/>
              <w:jc w:val="both"/>
              <w:rPr>
                <w:rFonts w:ascii="Arial" w:hAnsi="Arial" w:cs="Arial"/>
                <w:bCs/>
                <w:sz w:val="24"/>
                <w:szCs w:val="24"/>
                <w:lang w:eastAsia="en-US"/>
              </w:rPr>
            </w:pPr>
            <w:r w:rsidRPr="0029515D">
              <w:rPr>
                <w:rFonts w:ascii="Arial" w:hAnsi="Arial" w:cs="Arial"/>
                <w:bCs/>
                <w:sz w:val="24"/>
                <w:szCs w:val="24"/>
                <w:lang w:eastAsia="en-US"/>
              </w:rPr>
              <w:t>Proven ability to: (</w:t>
            </w:r>
            <w:proofErr w:type="spellStart"/>
            <w:r w:rsidRPr="0029515D">
              <w:rPr>
                <w:rFonts w:ascii="Arial" w:hAnsi="Arial" w:cs="Arial"/>
                <w:bCs/>
                <w:sz w:val="24"/>
                <w:szCs w:val="24"/>
                <w:lang w:eastAsia="en-US"/>
              </w:rPr>
              <w:t>i</w:t>
            </w:r>
            <w:proofErr w:type="spellEnd"/>
            <w:r w:rsidRPr="0029515D">
              <w:rPr>
                <w:rFonts w:ascii="Arial" w:hAnsi="Arial" w:cs="Arial"/>
                <w:bCs/>
                <w:sz w:val="24"/>
                <w:szCs w:val="24"/>
                <w:lang w:eastAsia="en-US"/>
              </w:rPr>
              <w:t>) handle multiple tasks under pressure with short deadlines; (ii) ability to work independently, seeking guidance on complex issues; and (iii) excellent interpersonal skills, proven team orientation and the ability to work across unit boundaries.</w:t>
            </w:r>
          </w:p>
          <w:p w14:paraId="1543A742" w14:textId="77777777" w:rsidR="007B6685" w:rsidRPr="0029515D" w:rsidRDefault="007B6685" w:rsidP="005E55A5">
            <w:pPr>
              <w:pStyle w:val="ListParagraph"/>
              <w:spacing w:line="360" w:lineRule="auto"/>
              <w:rPr>
                <w:rFonts w:ascii="Arial" w:hAnsi="Arial" w:cs="Arial"/>
                <w:bCs/>
                <w:sz w:val="24"/>
                <w:szCs w:val="24"/>
                <w:lang w:eastAsia="en-US"/>
              </w:rPr>
            </w:pPr>
          </w:p>
        </w:tc>
      </w:tr>
      <w:tr w:rsidR="0029515D" w:rsidRPr="0029515D" w14:paraId="59AB8197" w14:textId="77777777" w:rsidTr="005E55A5">
        <w:trPr>
          <w:trHeight w:val="214"/>
        </w:trPr>
        <w:tc>
          <w:tcPr>
            <w:tcW w:w="1396" w:type="dxa"/>
          </w:tcPr>
          <w:p w14:paraId="09CFF1B2" w14:textId="77777777" w:rsidR="007B6685" w:rsidRPr="0029515D" w:rsidRDefault="007B6685" w:rsidP="005E55A5">
            <w:pPr>
              <w:tabs>
                <w:tab w:val="left" w:pos="284"/>
              </w:tabs>
              <w:spacing w:after="120" w:line="360" w:lineRule="auto"/>
              <w:jc w:val="both"/>
              <w:rPr>
                <w:rFonts w:ascii="Arial" w:hAnsi="Arial" w:cs="Arial"/>
                <w:b/>
                <w:sz w:val="24"/>
                <w:szCs w:val="24"/>
                <w:lang w:eastAsia="en-US"/>
              </w:rPr>
            </w:pPr>
            <w:r w:rsidRPr="0029515D">
              <w:rPr>
                <w:rFonts w:ascii="Arial" w:hAnsi="Arial" w:cs="Arial"/>
                <w:b/>
                <w:sz w:val="24"/>
                <w:szCs w:val="24"/>
                <w:lang w:eastAsia="en-US"/>
              </w:rPr>
              <w:lastRenderedPageBreak/>
              <w:t>Experience:</w:t>
            </w:r>
          </w:p>
        </w:tc>
        <w:tc>
          <w:tcPr>
            <w:tcW w:w="7630" w:type="dxa"/>
          </w:tcPr>
          <w:p w14:paraId="0977F53C" w14:textId="7E29D890" w:rsidR="007B6685" w:rsidRPr="0029515D" w:rsidRDefault="007B6685" w:rsidP="007B6685">
            <w:pPr>
              <w:pStyle w:val="ListParagraph"/>
              <w:numPr>
                <w:ilvl w:val="0"/>
                <w:numId w:val="5"/>
              </w:numPr>
              <w:spacing w:line="360" w:lineRule="auto"/>
              <w:jc w:val="both"/>
              <w:rPr>
                <w:rFonts w:ascii="Arial" w:hAnsi="Arial" w:cs="Arial"/>
                <w:sz w:val="24"/>
                <w:szCs w:val="24"/>
              </w:rPr>
            </w:pPr>
            <w:r w:rsidRPr="0029515D">
              <w:rPr>
                <w:rFonts w:ascii="Arial" w:hAnsi="Arial" w:cs="Arial"/>
                <w:sz w:val="24"/>
                <w:szCs w:val="24"/>
              </w:rPr>
              <w:t xml:space="preserve">At least 5-8 years’ experience working in </w:t>
            </w:r>
            <w:r w:rsidR="00EC4715" w:rsidRPr="0029515D">
              <w:rPr>
                <w:rFonts w:ascii="Arial" w:hAnsi="Arial" w:cs="Arial"/>
                <w:sz w:val="24"/>
                <w:szCs w:val="24"/>
              </w:rPr>
              <w:t>SRHR</w:t>
            </w:r>
            <w:r w:rsidRPr="0029515D">
              <w:rPr>
                <w:rFonts w:ascii="Arial" w:hAnsi="Arial" w:cs="Arial"/>
                <w:sz w:val="24"/>
                <w:szCs w:val="24"/>
              </w:rPr>
              <w:t xml:space="preserve"> </w:t>
            </w:r>
            <w:r w:rsidR="00F31C6E">
              <w:rPr>
                <w:rFonts w:ascii="Arial" w:hAnsi="Arial" w:cs="Arial"/>
                <w:sz w:val="24"/>
                <w:szCs w:val="24"/>
              </w:rPr>
              <w:t xml:space="preserve">and EUP </w:t>
            </w:r>
            <w:r w:rsidRPr="0029515D">
              <w:rPr>
                <w:rFonts w:ascii="Arial" w:hAnsi="Arial" w:cs="Arial"/>
                <w:sz w:val="24"/>
                <w:szCs w:val="24"/>
              </w:rPr>
              <w:t>programmes and institutional development</w:t>
            </w:r>
          </w:p>
          <w:p w14:paraId="5A07C1C8" w14:textId="77777777" w:rsidR="007B6685" w:rsidRPr="0029515D" w:rsidRDefault="007B6685" w:rsidP="007B6685">
            <w:pPr>
              <w:pStyle w:val="ListParagraph"/>
              <w:numPr>
                <w:ilvl w:val="0"/>
                <w:numId w:val="5"/>
              </w:numPr>
              <w:spacing w:before="16" w:after="16" w:line="360" w:lineRule="auto"/>
              <w:jc w:val="both"/>
              <w:rPr>
                <w:rFonts w:ascii="Arial" w:hAnsi="Arial" w:cs="Arial"/>
                <w:sz w:val="24"/>
                <w:szCs w:val="24"/>
              </w:rPr>
            </w:pPr>
            <w:r w:rsidRPr="0029515D">
              <w:rPr>
                <w:rFonts w:ascii="Arial" w:hAnsi="Arial" w:cs="Arial"/>
                <w:sz w:val="24"/>
                <w:szCs w:val="24"/>
              </w:rPr>
              <w:t>Demonstrated experience in conducting advocacy studies and planning for advocacy campaigns.</w:t>
            </w:r>
          </w:p>
          <w:p w14:paraId="76A1FE54" w14:textId="4E1277EF" w:rsidR="007B6685" w:rsidRPr="0029515D" w:rsidRDefault="007B6685" w:rsidP="007B6685">
            <w:pPr>
              <w:numPr>
                <w:ilvl w:val="0"/>
                <w:numId w:val="5"/>
              </w:numPr>
              <w:tabs>
                <w:tab w:val="left" w:pos="284"/>
              </w:tabs>
              <w:spacing w:after="120" w:line="360" w:lineRule="auto"/>
              <w:jc w:val="both"/>
              <w:rPr>
                <w:rFonts w:ascii="Arial" w:hAnsi="Arial" w:cs="Arial"/>
                <w:sz w:val="24"/>
                <w:szCs w:val="24"/>
              </w:rPr>
            </w:pPr>
            <w:r w:rsidRPr="0029515D">
              <w:rPr>
                <w:rFonts w:ascii="Arial" w:hAnsi="Arial" w:cs="Arial"/>
                <w:sz w:val="24"/>
                <w:szCs w:val="24"/>
              </w:rPr>
              <w:t>Relevant academic degree (Social Sciences, Development Studies, Economics</w:t>
            </w:r>
            <w:r w:rsidR="00F31C6E">
              <w:rPr>
                <w:rFonts w:ascii="Arial" w:hAnsi="Arial" w:cs="Arial"/>
                <w:sz w:val="24"/>
                <w:szCs w:val="24"/>
              </w:rPr>
              <w:t>, Law</w:t>
            </w:r>
            <w:r w:rsidRPr="0029515D">
              <w:rPr>
                <w:rFonts w:ascii="Arial" w:hAnsi="Arial" w:cs="Arial"/>
                <w:sz w:val="24"/>
                <w:szCs w:val="24"/>
              </w:rPr>
              <w:t xml:space="preserve"> or related filed); previous experience </w:t>
            </w:r>
            <w:r w:rsidRPr="0029515D">
              <w:rPr>
                <w:rFonts w:ascii="Arial" w:hAnsi="Arial" w:cs="Arial"/>
                <w:sz w:val="24"/>
                <w:szCs w:val="24"/>
              </w:rPr>
              <w:lastRenderedPageBreak/>
              <w:t>leading teams; knowledge of social protection programs; knowledge of institutional development and capacity assessment; high quality report writing skills</w:t>
            </w:r>
          </w:p>
          <w:p w14:paraId="3FA6D334" w14:textId="77777777" w:rsidR="007B6685" w:rsidRPr="0029515D" w:rsidRDefault="007B6685" w:rsidP="007B6685">
            <w:pPr>
              <w:numPr>
                <w:ilvl w:val="0"/>
                <w:numId w:val="5"/>
              </w:numPr>
              <w:tabs>
                <w:tab w:val="left" w:pos="284"/>
              </w:tabs>
              <w:spacing w:after="120" w:line="360" w:lineRule="auto"/>
              <w:jc w:val="both"/>
              <w:rPr>
                <w:rFonts w:ascii="Arial" w:hAnsi="Arial" w:cs="Arial"/>
                <w:sz w:val="24"/>
                <w:szCs w:val="24"/>
              </w:rPr>
            </w:pPr>
            <w:r w:rsidRPr="0029515D">
              <w:rPr>
                <w:rFonts w:ascii="Arial" w:hAnsi="Arial" w:cs="Arial"/>
                <w:sz w:val="24"/>
                <w:szCs w:val="24"/>
              </w:rPr>
              <w:t xml:space="preserve">Prior experience working closely with the SADC and EAC </w:t>
            </w:r>
          </w:p>
          <w:p w14:paraId="7E0140F0" w14:textId="77777777" w:rsidR="007B6685" w:rsidRPr="0029515D" w:rsidRDefault="007B6685" w:rsidP="007B6685">
            <w:pPr>
              <w:numPr>
                <w:ilvl w:val="0"/>
                <w:numId w:val="5"/>
              </w:numPr>
              <w:tabs>
                <w:tab w:val="left" w:pos="284"/>
              </w:tabs>
              <w:spacing w:after="120" w:line="360" w:lineRule="auto"/>
              <w:jc w:val="both"/>
              <w:rPr>
                <w:rFonts w:ascii="Arial" w:hAnsi="Arial" w:cs="Arial"/>
                <w:sz w:val="24"/>
                <w:szCs w:val="24"/>
              </w:rPr>
            </w:pPr>
            <w:r w:rsidRPr="0029515D">
              <w:rPr>
                <w:rFonts w:ascii="Arial" w:hAnsi="Arial" w:cs="Arial"/>
                <w:sz w:val="24"/>
                <w:szCs w:val="24"/>
              </w:rPr>
              <w:t>Prior experience on information / Data management– database development; qualitative research software skills; mapping skills</w:t>
            </w:r>
          </w:p>
          <w:p w14:paraId="1125293B" w14:textId="77777777" w:rsidR="007B6685" w:rsidRPr="0029515D" w:rsidRDefault="007B6685" w:rsidP="005E55A5">
            <w:pPr>
              <w:pStyle w:val="ListParagraph"/>
              <w:spacing w:line="360" w:lineRule="auto"/>
              <w:rPr>
                <w:rFonts w:ascii="Arial" w:hAnsi="Arial" w:cs="Arial"/>
                <w:sz w:val="24"/>
                <w:szCs w:val="24"/>
              </w:rPr>
            </w:pPr>
          </w:p>
        </w:tc>
      </w:tr>
      <w:tr w:rsidR="0029515D" w:rsidRPr="0029515D" w14:paraId="7FAC6A73" w14:textId="77777777" w:rsidTr="005E55A5">
        <w:trPr>
          <w:trHeight w:val="101"/>
        </w:trPr>
        <w:tc>
          <w:tcPr>
            <w:tcW w:w="1396" w:type="dxa"/>
          </w:tcPr>
          <w:p w14:paraId="239770CC" w14:textId="77777777" w:rsidR="007B6685" w:rsidRPr="0029515D" w:rsidRDefault="007B6685" w:rsidP="005E55A5">
            <w:pPr>
              <w:tabs>
                <w:tab w:val="left" w:pos="284"/>
              </w:tabs>
              <w:spacing w:after="120" w:line="360" w:lineRule="auto"/>
              <w:jc w:val="both"/>
              <w:rPr>
                <w:rFonts w:ascii="Arial" w:hAnsi="Arial" w:cs="Arial"/>
                <w:b/>
                <w:sz w:val="24"/>
                <w:szCs w:val="24"/>
                <w:lang w:eastAsia="en-US"/>
              </w:rPr>
            </w:pPr>
            <w:r w:rsidRPr="0029515D">
              <w:rPr>
                <w:rFonts w:ascii="Arial" w:hAnsi="Arial" w:cs="Arial"/>
                <w:b/>
                <w:sz w:val="24"/>
                <w:szCs w:val="24"/>
                <w:lang w:eastAsia="en-US"/>
              </w:rPr>
              <w:lastRenderedPageBreak/>
              <w:t>Languages:</w:t>
            </w:r>
          </w:p>
        </w:tc>
        <w:tc>
          <w:tcPr>
            <w:tcW w:w="7630" w:type="dxa"/>
          </w:tcPr>
          <w:p w14:paraId="03CF0E04" w14:textId="77777777" w:rsidR="007B6685" w:rsidRPr="0029515D" w:rsidRDefault="007B6685" w:rsidP="005E55A5">
            <w:pPr>
              <w:shd w:val="clear" w:color="auto" w:fill="FFFFFF"/>
              <w:spacing w:line="276" w:lineRule="auto"/>
              <w:ind w:left="720" w:hanging="720"/>
              <w:jc w:val="both"/>
              <w:rPr>
                <w:rFonts w:ascii="Arial" w:hAnsi="Arial" w:cs="Arial"/>
                <w:bCs/>
                <w:sz w:val="24"/>
                <w:szCs w:val="24"/>
              </w:rPr>
            </w:pPr>
            <w:r w:rsidRPr="0029515D">
              <w:rPr>
                <w:rFonts w:ascii="Arial" w:hAnsi="Arial" w:cs="Arial"/>
                <w:bCs/>
              </w:rPr>
              <w:t xml:space="preserve"> </w:t>
            </w:r>
            <w:r w:rsidRPr="0029515D">
              <w:rPr>
                <w:rFonts w:ascii="Arial" w:hAnsi="Arial" w:cs="Arial"/>
                <w:bCs/>
                <w:sz w:val="24"/>
                <w:szCs w:val="24"/>
              </w:rPr>
              <w:t xml:space="preserve">Fluency in English is essential, working knowledge of French, Portuguese and or KiSwahili will be an added advantage. </w:t>
            </w:r>
          </w:p>
          <w:p w14:paraId="39596301" w14:textId="77777777" w:rsidR="007B6685" w:rsidRPr="0029515D" w:rsidRDefault="007B6685" w:rsidP="005E55A5">
            <w:pPr>
              <w:pStyle w:val="Default"/>
              <w:spacing w:line="360" w:lineRule="auto"/>
              <w:jc w:val="both"/>
              <w:rPr>
                <w:rFonts w:ascii="Arial" w:hAnsi="Arial" w:cs="Arial"/>
                <w:bCs/>
                <w:color w:val="auto"/>
              </w:rPr>
            </w:pPr>
          </w:p>
          <w:p w14:paraId="3537F601" w14:textId="77777777" w:rsidR="007B6685" w:rsidRPr="0029515D" w:rsidRDefault="007B6685" w:rsidP="005E55A5">
            <w:pPr>
              <w:pStyle w:val="Default"/>
              <w:spacing w:line="360" w:lineRule="auto"/>
              <w:jc w:val="both"/>
              <w:rPr>
                <w:rFonts w:ascii="Arial" w:hAnsi="Arial" w:cs="Arial"/>
                <w:bCs/>
                <w:color w:val="auto"/>
              </w:rPr>
            </w:pPr>
          </w:p>
          <w:p w14:paraId="3EE559A2" w14:textId="1C7E0B5F" w:rsidR="007B6685" w:rsidRPr="0029515D" w:rsidRDefault="007B6685" w:rsidP="00554365">
            <w:pPr>
              <w:pStyle w:val="Default"/>
              <w:spacing w:line="360" w:lineRule="auto"/>
              <w:jc w:val="both"/>
              <w:rPr>
                <w:rFonts w:ascii="Arial" w:hAnsi="Arial" w:cs="Arial"/>
                <w:bCs/>
                <w:color w:val="auto"/>
              </w:rPr>
            </w:pPr>
            <w:r w:rsidRPr="0029515D">
              <w:rPr>
                <w:rFonts w:ascii="Arial" w:hAnsi="Arial" w:cs="Arial"/>
                <w:b/>
                <w:bCs/>
                <w:color w:val="auto"/>
              </w:rPr>
              <w:t xml:space="preserve">Closing date: </w:t>
            </w:r>
            <w:r w:rsidR="00554365">
              <w:rPr>
                <w:rFonts w:ascii="Arial" w:hAnsi="Arial" w:cs="Arial"/>
                <w:b/>
                <w:bCs/>
                <w:color w:val="auto"/>
              </w:rPr>
              <w:t>8</w:t>
            </w:r>
            <w:r w:rsidRPr="0029515D">
              <w:rPr>
                <w:rFonts w:ascii="Arial" w:hAnsi="Arial" w:cs="Arial"/>
                <w:b/>
                <w:bCs/>
                <w:color w:val="auto"/>
                <w:vertAlign w:val="superscript"/>
              </w:rPr>
              <w:t>th</w:t>
            </w:r>
            <w:r w:rsidRPr="0029515D">
              <w:rPr>
                <w:rFonts w:ascii="Arial" w:hAnsi="Arial" w:cs="Arial"/>
                <w:b/>
                <w:bCs/>
                <w:color w:val="auto"/>
              </w:rPr>
              <w:t xml:space="preserve"> </w:t>
            </w:r>
            <w:r w:rsidR="00554365">
              <w:rPr>
                <w:rFonts w:ascii="Arial" w:hAnsi="Arial" w:cs="Arial"/>
                <w:b/>
                <w:bCs/>
                <w:color w:val="auto"/>
              </w:rPr>
              <w:t>May</w:t>
            </w:r>
            <w:r w:rsidRPr="0029515D">
              <w:rPr>
                <w:rFonts w:ascii="Arial" w:hAnsi="Arial" w:cs="Arial"/>
                <w:b/>
                <w:bCs/>
                <w:color w:val="auto"/>
              </w:rPr>
              <w:t xml:space="preserve"> 2020 at 5pm Johannesburg time.</w:t>
            </w:r>
            <w:r w:rsidRPr="0029515D">
              <w:rPr>
                <w:rFonts w:ascii="Arial" w:hAnsi="Arial" w:cs="Arial"/>
                <w:color w:val="auto"/>
              </w:rPr>
              <w:br/>
            </w:r>
          </w:p>
        </w:tc>
      </w:tr>
    </w:tbl>
    <w:p w14:paraId="147CAC60" w14:textId="77777777" w:rsidR="007B6685" w:rsidRPr="0029515D" w:rsidRDefault="007B6685" w:rsidP="007B6685">
      <w:pPr>
        <w:spacing w:line="360" w:lineRule="auto"/>
        <w:jc w:val="both"/>
        <w:rPr>
          <w:rFonts w:ascii="Arial" w:hAnsi="Arial" w:cs="Arial"/>
          <w:sz w:val="24"/>
          <w:szCs w:val="24"/>
        </w:rPr>
      </w:pPr>
      <w:r w:rsidRPr="0029515D">
        <w:rPr>
          <w:rFonts w:ascii="Arial" w:eastAsia="Times New Roman" w:hAnsi="Arial" w:cs="Arial"/>
          <w:sz w:val="24"/>
          <w:szCs w:val="24"/>
        </w:rPr>
        <w:tab/>
      </w:r>
    </w:p>
    <w:p w14:paraId="0DED9640" w14:textId="77777777" w:rsidR="007B6685" w:rsidRPr="0029515D" w:rsidRDefault="007B6685" w:rsidP="00FC1069">
      <w:pPr>
        <w:spacing w:line="360" w:lineRule="auto"/>
        <w:jc w:val="both"/>
      </w:pPr>
    </w:p>
    <w:sectPr w:rsidR="007B6685" w:rsidRPr="002951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CBB1" w14:textId="77777777" w:rsidR="00365896" w:rsidRDefault="00365896" w:rsidP="00AA3D89">
      <w:pPr>
        <w:spacing w:after="0" w:line="240" w:lineRule="auto"/>
      </w:pPr>
      <w:r>
        <w:separator/>
      </w:r>
    </w:p>
  </w:endnote>
  <w:endnote w:type="continuationSeparator" w:id="0">
    <w:p w14:paraId="06293A88" w14:textId="77777777" w:rsidR="00365896" w:rsidRDefault="00365896" w:rsidP="00AA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64332"/>
      <w:docPartObj>
        <w:docPartGallery w:val="Page Numbers (Bottom of Page)"/>
        <w:docPartUnique/>
      </w:docPartObj>
    </w:sdtPr>
    <w:sdtEndPr>
      <w:rPr>
        <w:noProof/>
      </w:rPr>
    </w:sdtEndPr>
    <w:sdtContent>
      <w:p w14:paraId="778D5D76" w14:textId="3BF40990" w:rsidR="00961A73" w:rsidRDefault="00961A73">
        <w:pPr>
          <w:pStyle w:val="Footer"/>
          <w:jc w:val="right"/>
        </w:pPr>
        <w:r>
          <w:fldChar w:fldCharType="begin"/>
        </w:r>
        <w:r>
          <w:instrText xml:space="preserve"> PAGE   \* MERGEFORMAT </w:instrText>
        </w:r>
        <w:r>
          <w:fldChar w:fldCharType="separate"/>
        </w:r>
        <w:r w:rsidR="003C44D2">
          <w:rPr>
            <w:noProof/>
          </w:rPr>
          <w:t>6</w:t>
        </w:r>
        <w:r>
          <w:rPr>
            <w:noProof/>
          </w:rPr>
          <w:fldChar w:fldCharType="end"/>
        </w:r>
      </w:p>
    </w:sdtContent>
  </w:sdt>
  <w:p w14:paraId="05476E2F" w14:textId="77777777" w:rsidR="00AA3D89" w:rsidRDefault="00AA3D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F380" w14:textId="77777777" w:rsidR="00365896" w:rsidRDefault="00365896" w:rsidP="00AA3D89">
      <w:pPr>
        <w:spacing w:after="0" w:line="240" w:lineRule="auto"/>
      </w:pPr>
      <w:r>
        <w:separator/>
      </w:r>
    </w:p>
  </w:footnote>
  <w:footnote w:type="continuationSeparator" w:id="0">
    <w:p w14:paraId="2E59B29A" w14:textId="77777777" w:rsidR="00365896" w:rsidRDefault="00365896" w:rsidP="00AA3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67C"/>
    <w:multiLevelType w:val="hybridMultilevel"/>
    <w:tmpl w:val="98F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87F43"/>
    <w:multiLevelType w:val="multilevel"/>
    <w:tmpl w:val="E40A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57B6F"/>
    <w:multiLevelType w:val="multilevel"/>
    <w:tmpl w:val="330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367E6"/>
    <w:multiLevelType w:val="hybridMultilevel"/>
    <w:tmpl w:val="7070FC78"/>
    <w:lvl w:ilvl="0" w:tplc="08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A761A85"/>
    <w:multiLevelType w:val="hybridMultilevel"/>
    <w:tmpl w:val="9452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20145"/>
    <w:multiLevelType w:val="hybridMultilevel"/>
    <w:tmpl w:val="617C65BE"/>
    <w:lvl w:ilvl="0" w:tplc="45CC2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37169"/>
    <w:multiLevelType w:val="hybridMultilevel"/>
    <w:tmpl w:val="9452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E5"/>
    <w:rsid w:val="00001415"/>
    <w:rsid w:val="000160B4"/>
    <w:rsid w:val="000B02FC"/>
    <w:rsid w:val="000C4740"/>
    <w:rsid w:val="000F03C1"/>
    <w:rsid w:val="000F0F70"/>
    <w:rsid w:val="00106D10"/>
    <w:rsid w:val="00122503"/>
    <w:rsid w:val="00134CCE"/>
    <w:rsid w:val="001855A0"/>
    <w:rsid w:val="00195108"/>
    <w:rsid w:val="001B071C"/>
    <w:rsid w:val="001B2DDE"/>
    <w:rsid w:val="001D2A8C"/>
    <w:rsid w:val="002120EB"/>
    <w:rsid w:val="002503CA"/>
    <w:rsid w:val="0029515D"/>
    <w:rsid w:val="002C2882"/>
    <w:rsid w:val="002E03C7"/>
    <w:rsid w:val="003150B2"/>
    <w:rsid w:val="00316797"/>
    <w:rsid w:val="00352A95"/>
    <w:rsid w:val="00365896"/>
    <w:rsid w:val="0039244E"/>
    <w:rsid w:val="003B41E6"/>
    <w:rsid w:val="003C44D2"/>
    <w:rsid w:val="003F4174"/>
    <w:rsid w:val="00440415"/>
    <w:rsid w:val="00452E08"/>
    <w:rsid w:val="0046403F"/>
    <w:rsid w:val="00493EE9"/>
    <w:rsid w:val="004B5E14"/>
    <w:rsid w:val="004E1C02"/>
    <w:rsid w:val="004F7DCC"/>
    <w:rsid w:val="00503D99"/>
    <w:rsid w:val="00541546"/>
    <w:rsid w:val="00542422"/>
    <w:rsid w:val="0055000A"/>
    <w:rsid w:val="00554365"/>
    <w:rsid w:val="005902C5"/>
    <w:rsid w:val="005E28AB"/>
    <w:rsid w:val="00653C45"/>
    <w:rsid w:val="006722C4"/>
    <w:rsid w:val="006B3B31"/>
    <w:rsid w:val="006E32E1"/>
    <w:rsid w:val="006E3899"/>
    <w:rsid w:val="00705563"/>
    <w:rsid w:val="00710C9C"/>
    <w:rsid w:val="00727AD3"/>
    <w:rsid w:val="007864A3"/>
    <w:rsid w:val="007B6685"/>
    <w:rsid w:val="007F5628"/>
    <w:rsid w:val="008033A3"/>
    <w:rsid w:val="00905BB9"/>
    <w:rsid w:val="0091210B"/>
    <w:rsid w:val="0095213A"/>
    <w:rsid w:val="00961A73"/>
    <w:rsid w:val="00977F72"/>
    <w:rsid w:val="00987B42"/>
    <w:rsid w:val="009A5275"/>
    <w:rsid w:val="009F1E27"/>
    <w:rsid w:val="009F5C59"/>
    <w:rsid w:val="00A10B46"/>
    <w:rsid w:val="00A46115"/>
    <w:rsid w:val="00A506E5"/>
    <w:rsid w:val="00A56685"/>
    <w:rsid w:val="00AA3D89"/>
    <w:rsid w:val="00AD3EB3"/>
    <w:rsid w:val="00AF21A7"/>
    <w:rsid w:val="00B117CB"/>
    <w:rsid w:val="00B17BB7"/>
    <w:rsid w:val="00B243C8"/>
    <w:rsid w:val="00B60B64"/>
    <w:rsid w:val="00B76F63"/>
    <w:rsid w:val="00C3621F"/>
    <w:rsid w:val="00C5633A"/>
    <w:rsid w:val="00C66C65"/>
    <w:rsid w:val="00CC226F"/>
    <w:rsid w:val="00D438B0"/>
    <w:rsid w:val="00D912FF"/>
    <w:rsid w:val="00DB564B"/>
    <w:rsid w:val="00E222DD"/>
    <w:rsid w:val="00E8551F"/>
    <w:rsid w:val="00E95F08"/>
    <w:rsid w:val="00EA447B"/>
    <w:rsid w:val="00EC4715"/>
    <w:rsid w:val="00ED58EE"/>
    <w:rsid w:val="00F26A24"/>
    <w:rsid w:val="00F31C6E"/>
    <w:rsid w:val="00F3549D"/>
    <w:rsid w:val="00FC1069"/>
    <w:rsid w:val="00FC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D6E4"/>
  <w15:chartTrackingRefBased/>
  <w15:docId w15:val="{2690FB9F-7788-40C2-8B14-0C1405E2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0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06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6E5"/>
    <w:rPr>
      <w:rFonts w:ascii="Times New Roman" w:eastAsia="Times New Roman" w:hAnsi="Times New Roman" w:cs="Times New Roman"/>
      <w:b/>
      <w:bCs/>
      <w:sz w:val="36"/>
      <w:szCs w:val="36"/>
    </w:rPr>
  </w:style>
  <w:style w:type="paragraph" w:customStyle="1" w:styleId="p">
    <w:name w:val="p"/>
    <w:basedOn w:val="Normal"/>
    <w:rsid w:val="00A50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6E5"/>
    <w:rPr>
      <w:color w:val="0000FF"/>
      <w:u w:val="single"/>
    </w:rPr>
  </w:style>
  <w:style w:type="paragraph" w:styleId="NormalWeb">
    <w:name w:val="Normal (Web)"/>
    <w:basedOn w:val="Normal"/>
    <w:uiPriority w:val="99"/>
    <w:semiHidden/>
    <w:unhideWhenUsed/>
    <w:rsid w:val="00A5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06E5"/>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6 pt.,3pt"/>
    <w:basedOn w:val="Normal"/>
    <w:link w:val="ListParagraphChar"/>
    <w:uiPriority w:val="34"/>
    <w:qFormat/>
    <w:rsid w:val="00B76F63"/>
    <w:pPr>
      <w:ind w:left="720"/>
      <w:contextualSpacing/>
    </w:pPr>
  </w:style>
  <w:style w:type="paragraph" w:styleId="Header">
    <w:name w:val="header"/>
    <w:basedOn w:val="Normal"/>
    <w:link w:val="HeaderChar"/>
    <w:uiPriority w:val="99"/>
    <w:unhideWhenUsed/>
    <w:rsid w:val="00AA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89"/>
  </w:style>
  <w:style w:type="paragraph" w:styleId="Footer">
    <w:name w:val="footer"/>
    <w:basedOn w:val="Normal"/>
    <w:link w:val="FooterChar"/>
    <w:uiPriority w:val="99"/>
    <w:unhideWhenUsed/>
    <w:rsid w:val="00AA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89"/>
  </w:style>
  <w:style w:type="character" w:styleId="FollowedHyperlink">
    <w:name w:val="FollowedHyperlink"/>
    <w:basedOn w:val="DefaultParagraphFont"/>
    <w:uiPriority w:val="99"/>
    <w:semiHidden/>
    <w:unhideWhenUsed/>
    <w:rsid w:val="00AA3D89"/>
    <w:rPr>
      <w:color w:val="954F72" w:themeColor="followedHyperlink"/>
      <w:u w:val="single"/>
    </w:rPr>
  </w:style>
  <w:style w:type="table" w:styleId="TableGrid">
    <w:name w:val="Table Grid"/>
    <w:basedOn w:val="TableNormal"/>
    <w:rsid w:val="007B668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B6685"/>
    <w:pPr>
      <w:autoSpaceDE w:val="0"/>
      <w:autoSpaceDN w:val="0"/>
      <w:spacing w:after="0" w:line="240" w:lineRule="auto"/>
    </w:pPr>
    <w:rPr>
      <w:rFonts w:ascii="Calibri" w:hAnsi="Calibri" w:cs="Calibri"/>
      <w:color w:val="000000"/>
      <w:sz w:val="24"/>
      <w:szCs w:val="24"/>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6 pt. Char"/>
    <w:basedOn w:val="DefaultParagraphFont"/>
    <w:link w:val="ListParagraph"/>
    <w:uiPriority w:val="34"/>
    <w:locked/>
    <w:rsid w:val="007B6685"/>
  </w:style>
  <w:style w:type="character" w:styleId="CommentReference">
    <w:name w:val="annotation reference"/>
    <w:basedOn w:val="DefaultParagraphFont"/>
    <w:uiPriority w:val="99"/>
    <w:semiHidden/>
    <w:unhideWhenUsed/>
    <w:rsid w:val="002120EB"/>
    <w:rPr>
      <w:sz w:val="16"/>
      <w:szCs w:val="16"/>
    </w:rPr>
  </w:style>
  <w:style w:type="paragraph" w:styleId="CommentText">
    <w:name w:val="annotation text"/>
    <w:basedOn w:val="Normal"/>
    <w:link w:val="CommentTextChar"/>
    <w:uiPriority w:val="99"/>
    <w:semiHidden/>
    <w:unhideWhenUsed/>
    <w:rsid w:val="002120EB"/>
    <w:pPr>
      <w:spacing w:line="240" w:lineRule="auto"/>
    </w:pPr>
    <w:rPr>
      <w:sz w:val="20"/>
      <w:szCs w:val="20"/>
    </w:rPr>
  </w:style>
  <w:style w:type="character" w:customStyle="1" w:styleId="CommentTextChar">
    <w:name w:val="Comment Text Char"/>
    <w:basedOn w:val="DefaultParagraphFont"/>
    <w:link w:val="CommentText"/>
    <w:uiPriority w:val="99"/>
    <w:semiHidden/>
    <w:rsid w:val="002120EB"/>
    <w:rPr>
      <w:sz w:val="20"/>
      <w:szCs w:val="20"/>
    </w:rPr>
  </w:style>
  <w:style w:type="paragraph" w:styleId="CommentSubject">
    <w:name w:val="annotation subject"/>
    <w:basedOn w:val="CommentText"/>
    <w:next w:val="CommentText"/>
    <w:link w:val="CommentSubjectChar"/>
    <w:uiPriority w:val="99"/>
    <w:semiHidden/>
    <w:unhideWhenUsed/>
    <w:rsid w:val="002120EB"/>
    <w:rPr>
      <w:b/>
      <w:bCs/>
    </w:rPr>
  </w:style>
  <w:style w:type="character" w:customStyle="1" w:styleId="CommentSubjectChar">
    <w:name w:val="Comment Subject Char"/>
    <w:basedOn w:val="CommentTextChar"/>
    <w:link w:val="CommentSubject"/>
    <w:uiPriority w:val="99"/>
    <w:semiHidden/>
    <w:rsid w:val="002120EB"/>
    <w:rPr>
      <w:b/>
      <w:bCs/>
      <w:sz w:val="20"/>
      <w:szCs w:val="20"/>
    </w:rPr>
  </w:style>
  <w:style w:type="paragraph" w:styleId="BalloonText">
    <w:name w:val="Balloon Text"/>
    <w:basedOn w:val="Normal"/>
    <w:link w:val="BalloonTextChar"/>
    <w:uiPriority w:val="99"/>
    <w:semiHidden/>
    <w:unhideWhenUsed/>
    <w:rsid w:val="0021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9261">
      <w:bodyDiv w:val="1"/>
      <w:marLeft w:val="0"/>
      <w:marRight w:val="0"/>
      <w:marTop w:val="0"/>
      <w:marBottom w:val="0"/>
      <w:divBdr>
        <w:top w:val="none" w:sz="0" w:space="0" w:color="auto"/>
        <w:left w:val="none" w:sz="0" w:space="0" w:color="auto"/>
        <w:bottom w:val="none" w:sz="0" w:space="0" w:color="auto"/>
        <w:right w:val="none" w:sz="0" w:space="0" w:color="auto"/>
      </w:divBdr>
    </w:div>
    <w:div w:id="2096316796">
      <w:bodyDiv w:val="1"/>
      <w:marLeft w:val="0"/>
      <w:marRight w:val="0"/>
      <w:marTop w:val="0"/>
      <w:marBottom w:val="0"/>
      <w:divBdr>
        <w:top w:val="none" w:sz="0" w:space="0" w:color="auto"/>
        <w:left w:val="none" w:sz="0" w:space="0" w:color="auto"/>
        <w:bottom w:val="none" w:sz="0" w:space="0" w:color="auto"/>
        <w:right w:val="none" w:sz="0" w:space="0" w:color="auto"/>
      </w:divBdr>
      <w:divsChild>
        <w:div w:id="1880703537">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9836C8C3B64580CBB06639AF7CD7" ma:contentTypeVersion="15" ma:contentTypeDescription="Create a new document." ma:contentTypeScope="" ma:versionID="7ed61401ea95d3926a4703d10bff1c67">
  <xsd:schema xmlns:xsd="http://www.w3.org/2001/XMLSchema" xmlns:xs="http://www.w3.org/2001/XMLSchema" xmlns:p="http://schemas.microsoft.com/office/2006/metadata/properties" xmlns:ns1="http://schemas.microsoft.com/sharepoint/v3" xmlns:ns3="2d5f94ad-d8a5-4a6f-bfeb-63908d6c80a7" xmlns:ns4="1fcb3f65-a141-49c1-b8c3-9ab88eaa934c" targetNamespace="http://schemas.microsoft.com/office/2006/metadata/properties" ma:root="true" ma:fieldsID="1ab372a00e005071de361e25baa9215d" ns1:_="" ns3:_="" ns4:_="">
    <xsd:import namespace="http://schemas.microsoft.com/sharepoint/v3"/>
    <xsd:import namespace="2d5f94ad-d8a5-4a6f-bfeb-63908d6c80a7"/>
    <xsd:import namespace="1fcb3f65-a141-49c1-b8c3-9ab88eaa9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f94ad-d8a5-4a6f-bfeb-63908d6c8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b3f65-a141-49c1-b8c3-9ab88eaa93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3483EE-2075-44E8-B93F-F77B3F75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f94ad-d8a5-4a6f-bfeb-63908d6c80a7"/>
    <ds:schemaRef ds:uri="1fcb3f65-a141-49c1-b8c3-9ab88ea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B7C86-643C-4B34-B32B-CA09DF72AEE4}">
  <ds:schemaRefs>
    <ds:schemaRef ds:uri="http://schemas.microsoft.com/sharepoint/v3/contenttype/forms"/>
  </ds:schemaRefs>
</ds:datastoreItem>
</file>

<file path=customXml/itemProps3.xml><?xml version="1.0" encoding="utf-8"?>
<ds:datastoreItem xmlns:ds="http://schemas.openxmlformats.org/officeDocument/2006/customXml" ds:itemID="{596DA4DA-887F-48E6-9553-0CD310D65F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Anock Kapira</dc:creator>
  <cp:keywords/>
  <dc:description/>
  <cp:lastModifiedBy>Anock Kapira</cp:lastModifiedBy>
  <cp:revision>8</cp:revision>
  <dcterms:created xsi:type="dcterms:W3CDTF">2020-04-29T13:06:00Z</dcterms:created>
  <dcterms:modified xsi:type="dcterms:W3CDTF">2020-04-29T13:41:00Z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0x01010063A49836C8C3B64580CBB06639AF7CD7</vt:lpwstr>
  </property>
</Properties>
</file>